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47B7" w14:textId="540B7EE2" w:rsidR="00316779" w:rsidRPr="00DC0AFC" w:rsidRDefault="002F6E94" w:rsidP="00285C94">
      <w:pPr>
        <w:ind w:left="-851" w:right="120"/>
        <w:jc w:val="both"/>
        <w:rPr>
          <w:rFonts w:ascii="Arial" w:hAnsi="Arial" w:cs="Arial"/>
          <w:b/>
          <w:bCs/>
          <w:sz w:val="20"/>
          <w:szCs w:val="20"/>
        </w:rPr>
      </w:pPr>
      <w:r w:rsidRPr="002F6E94">
        <w:rPr>
          <w:rFonts w:ascii="Arial" w:hAnsi="Arial" w:cs="Arial"/>
          <w:b/>
          <w:bCs/>
          <w:sz w:val="20"/>
          <w:szCs w:val="20"/>
        </w:rPr>
        <w:t>AMENDING CERTAIN PROVISIONS OF DEPARTMENT CIRCULAR NO. DC2021-06-0013 ON THE FRAMEWORK GOVERNING THE TEST AND COMMISSIONING ACTIVITIES OF EMBEDDED GENERATORS</w:t>
      </w:r>
    </w:p>
    <w:tbl>
      <w:tblPr>
        <w:tblStyle w:val="TableGrid"/>
        <w:tblW w:w="5234" w:type="pct"/>
        <w:tblInd w:w="-856" w:type="dxa"/>
        <w:tblLook w:val="04A0" w:firstRow="1" w:lastRow="0" w:firstColumn="1" w:lastColumn="0" w:noHBand="0" w:noVBand="1"/>
      </w:tblPr>
      <w:tblGrid>
        <w:gridCol w:w="1981"/>
        <w:gridCol w:w="1139"/>
        <w:gridCol w:w="4677"/>
        <w:gridCol w:w="4960"/>
        <w:gridCol w:w="2938"/>
      </w:tblGrid>
      <w:tr w:rsidR="00CB192D" w:rsidRPr="00DC0AFC" w14:paraId="75D34FDB" w14:textId="2E3A5A39" w:rsidTr="31C22A3A">
        <w:trPr>
          <w:trHeight w:val="300"/>
          <w:tblHeader/>
        </w:trPr>
        <w:tc>
          <w:tcPr>
            <w:tcW w:w="631" w:type="pct"/>
            <w:vAlign w:val="center"/>
          </w:tcPr>
          <w:p w14:paraId="45A7DB5A" w14:textId="705AE4E7" w:rsidR="0001276B" w:rsidRPr="00DC0AFC" w:rsidRDefault="0001276B" w:rsidP="00DD35B3">
            <w:pPr>
              <w:jc w:val="center"/>
              <w:rPr>
                <w:rFonts w:ascii="Arial" w:hAnsi="Arial" w:cs="Arial"/>
                <w:b/>
                <w:bCs/>
                <w:sz w:val="20"/>
                <w:szCs w:val="20"/>
              </w:rPr>
            </w:pPr>
            <w:r w:rsidRPr="00DC0AFC">
              <w:rPr>
                <w:rFonts w:ascii="Arial" w:hAnsi="Arial" w:cs="Arial"/>
                <w:b/>
                <w:bCs/>
                <w:sz w:val="20"/>
                <w:szCs w:val="20"/>
              </w:rPr>
              <w:t xml:space="preserve"> Section Title</w:t>
            </w:r>
          </w:p>
        </w:tc>
        <w:tc>
          <w:tcPr>
            <w:tcW w:w="363" w:type="pct"/>
            <w:vAlign w:val="center"/>
          </w:tcPr>
          <w:p w14:paraId="21A8CF45" w14:textId="694CE2DB" w:rsidR="0001276B" w:rsidRPr="00DC0AFC" w:rsidRDefault="0001276B" w:rsidP="513C374B">
            <w:pPr>
              <w:jc w:val="center"/>
              <w:rPr>
                <w:rFonts w:ascii="Arial" w:hAnsi="Arial" w:cs="Arial"/>
                <w:b/>
                <w:bCs/>
                <w:sz w:val="20"/>
                <w:szCs w:val="20"/>
              </w:rPr>
            </w:pPr>
            <w:r w:rsidRPr="00DC0AFC">
              <w:rPr>
                <w:rFonts w:ascii="Arial" w:hAnsi="Arial" w:cs="Arial"/>
                <w:b/>
                <w:bCs/>
                <w:sz w:val="20"/>
                <w:szCs w:val="20"/>
              </w:rPr>
              <w:t>Section</w:t>
            </w:r>
          </w:p>
        </w:tc>
        <w:tc>
          <w:tcPr>
            <w:tcW w:w="1490" w:type="pct"/>
            <w:vAlign w:val="center"/>
          </w:tcPr>
          <w:p w14:paraId="784C9906" w14:textId="6060DE12" w:rsidR="0001276B" w:rsidRPr="00DC0AFC" w:rsidRDefault="0001276B" w:rsidP="0089301B">
            <w:pPr>
              <w:jc w:val="center"/>
              <w:rPr>
                <w:rFonts w:ascii="Arial" w:hAnsi="Arial" w:cs="Arial"/>
                <w:b/>
                <w:bCs/>
                <w:sz w:val="20"/>
                <w:szCs w:val="20"/>
              </w:rPr>
            </w:pPr>
            <w:r w:rsidRPr="00DC0AFC">
              <w:rPr>
                <w:rFonts w:ascii="Arial" w:hAnsi="Arial" w:cs="Arial"/>
                <w:b/>
                <w:bCs/>
                <w:sz w:val="20"/>
                <w:szCs w:val="20"/>
              </w:rPr>
              <w:t>DOE DC2021-06-0013</w:t>
            </w:r>
          </w:p>
        </w:tc>
        <w:tc>
          <w:tcPr>
            <w:tcW w:w="1580" w:type="pct"/>
            <w:vAlign w:val="center"/>
          </w:tcPr>
          <w:p w14:paraId="1623CA4A" w14:textId="77777777" w:rsidR="0001276B" w:rsidRPr="00DC0AFC" w:rsidRDefault="0001276B" w:rsidP="00A358B1">
            <w:pPr>
              <w:jc w:val="center"/>
              <w:rPr>
                <w:rFonts w:ascii="Arial" w:hAnsi="Arial" w:cs="Arial"/>
                <w:b/>
                <w:bCs/>
                <w:sz w:val="20"/>
                <w:szCs w:val="20"/>
              </w:rPr>
            </w:pPr>
            <w:r w:rsidRPr="00DC0AFC">
              <w:rPr>
                <w:rFonts w:ascii="Arial" w:hAnsi="Arial" w:cs="Arial"/>
                <w:b/>
                <w:bCs/>
                <w:sz w:val="20"/>
                <w:szCs w:val="20"/>
              </w:rPr>
              <w:t xml:space="preserve">DOE DRAFT DC AMENDING </w:t>
            </w:r>
          </w:p>
          <w:p w14:paraId="2D977E9B" w14:textId="252ABC0D" w:rsidR="0001276B" w:rsidRPr="00DC0AFC" w:rsidRDefault="0001276B" w:rsidP="00A358B1">
            <w:pPr>
              <w:jc w:val="center"/>
              <w:rPr>
                <w:rFonts w:ascii="Arial" w:hAnsi="Arial" w:cs="Arial"/>
                <w:b/>
                <w:bCs/>
                <w:sz w:val="20"/>
                <w:szCs w:val="20"/>
              </w:rPr>
            </w:pPr>
            <w:r w:rsidRPr="00DC0AFC">
              <w:rPr>
                <w:rFonts w:ascii="Arial" w:hAnsi="Arial" w:cs="Arial"/>
                <w:b/>
                <w:bCs/>
                <w:sz w:val="20"/>
                <w:szCs w:val="20"/>
              </w:rPr>
              <w:t>DC2021-06-0013</w:t>
            </w:r>
          </w:p>
        </w:tc>
        <w:tc>
          <w:tcPr>
            <w:tcW w:w="936" w:type="pct"/>
          </w:tcPr>
          <w:p w14:paraId="77DEA5DB" w14:textId="67B82A06" w:rsidR="0001276B" w:rsidRPr="00DC0AFC" w:rsidRDefault="0001276B" w:rsidP="513C374B">
            <w:pPr>
              <w:jc w:val="center"/>
              <w:rPr>
                <w:rFonts w:ascii="Arial" w:hAnsi="Arial" w:cs="Arial"/>
                <w:b/>
                <w:bCs/>
                <w:sz w:val="20"/>
                <w:szCs w:val="20"/>
              </w:rPr>
            </w:pPr>
          </w:p>
          <w:p w14:paraId="00B4543C" w14:textId="0406566E" w:rsidR="0001276B" w:rsidRPr="00DC0AFC" w:rsidRDefault="0001276B" w:rsidP="513C374B">
            <w:pPr>
              <w:jc w:val="center"/>
              <w:rPr>
                <w:rFonts w:ascii="Arial" w:hAnsi="Arial" w:cs="Arial"/>
                <w:b/>
                <w:bCs/>
                <w:sz w:val="20"/>
                <w:szCs w:val="20"/>
              </w:rPr>
            </w:pPr>
            <w:r w:rsidRPr="00DC0AFC">
              <w:rPr>
                <w:rFonts w:ascii="Arial" w:hAnsi="Arial" w:cs="Arial"/>
                <w:b/>
                <w:bCs/>
                <w:sz w:val="20"/>
                <w:szCs w:val="20"/>
              </w:rPr>
              <w:t xml:space="preserve">DOE’s </w:t>
            </w:r>
            <w:r w:rsidR="00FE0263">
              <w:rPr>
                <w:rFonts w:ascii="Arial" w:hAnsi="Arial" w:cs="Arial"/>
                <w:b/>
                <w:bCs/>
                <w:sz w:val="20"/>
                <w:szCs w:val="20"/>
              </w:rPr>
              <w:t>RATIONALE</w:t>
            </w:r>
          </w:p>
          <w:p w14:paraId="0FA41281" w14:textId="1B1B4860" w:rsidR="0001276B" w:rsidRPr="00DC0AFC" w:rsidRDefault="0001276B" w:rsidP="006C5630">
            <w:pPr>
              <w:rPr>
                <w:rFonts w:ascii="Arial" w:hAnsi="Arial" w:cs="Arial"/>
                <w:b/>
                <w:bCs/>
                <w:sz w:val="20"/>
                <w:szCs w:val="20"/>
              </w:rPr>
            </w:pPr>
          </w:p>
        </w:tc>
      </w:tr>
      <w:tr w:rsidR="00CB192D" w:rsidRPr="00DC0AFC" w14:paraId="56217565" w14:textId="494A2163" w:rsidTr="31C22A3A">
        <w:trPr>
          <w:trHeight w:val="300"/>
        </w:trPr>
        <w:tc>
          <w:tcPr>
            <w:tcW w:w="631" w:type="pct"/>
          </w:tcPr>
          <w:p w14:paraId="048F0017" w14:textId="2BA1F74D" w:rsidR="0001276B" w:rsidRPr="00DC0AFC" w:rsidRDefault="0001276B" w:rsidP="00CE1C90">
            <w:pPr>
              <w:jc w:val="both"/>
              <w:rPr>
                <w:rFonts w:ascii="Arial" w:hAnsi="Arial" w:cs="Arial"/>
                <w:sz w:val="20"/>
                <w:szCs w:val="20"/>
              </w:rPr>
            </w:pPr>
            <w:r w:rsidRPr="00DC0AFC">
              <w:rPr>
                <w:rFonts w:ascii="Arial" w:hAnsi="Arial" w:cs="Arial"/>
                <w:sz w:val="20"/>
                <w:szCs w:val="20"/>
              </w:rPr>
              <w:t>Procedures Before Test and Commissioning</w:t>
            </w:r>
          </w:p>
        </w:tc>
        <w:tc>
          <w:tcPr>
            <w:tcW w:w="363" w:type="pct"/>
          </w:tcPr>
          <w:p w14:paraId="170EE806" w14:textId="2488EF82" w:rsidR="0001276B" w:rsidRPr="00DC0AFC" w:rsidRDefault="0001276B" w:rsidP="0089301B">
            <w:pPr>
              <w:jc w:val="center"/>
              <w:rPr>
                <w:rFonts w:ascii="Arial" w:hAnsi="Arial" w:cs="Arial"/>
                <w:sz w:val="20"/>
                <w:szCs w:val="20"/>
              </w:rPr>
            </w:pPr>
            <w:r w:rsidRPr="00DC0AFC">
              <w:rPr>
                <w:rFonts w:ascii="Arial" w:hAnsi="Arial" w:cs="Arial"/>
                <w:sz w:val="20"/>
                <w:szCs w:val="20"/>
              </w:rPr>
              <w:t>4.2</w:t>
            </w:r>
          </w:p>
        </w:tc>
        <w:tc>
          <w:tcPr>
            <w:tcW w:w="1490" w:type="pct"/>
          </w:tcPr>
          <w:p w14:paraId="23AC1DC0" w14:textId="77777777" w:rsidR="0001276B" w:rsidRPr="00DC0AFC" w:rsidRDefault="0001276B" w:rsidP="0089301B">
            <w:pPr>
              <w:jc w:val="both"/>
              <w:rPr>
                <w:rFonts w:ascii="Arial" w:hAnsi="Arial" w:cs="Arial"/>
                <w:sz w:val="20"/>
                <w:szCs w:val="20"/>
              </w:rPr>
            </w:pPr>
            <w:r w:rsidRPr="00DC0AFC">
              <w:rPr>
                <w:rFonts w:ascii="Arial" w:hAnsi="Arial" w:cs="Arial"/>
                <w:sz w:val="20"/>
                <w:szCs w:val="20"/>
              </w:rPr>
              <w:t>4.2 Procedures Before Test and Commissioning</w:t>
            </w:r>
          </w:p>
          <w:p w14:paraId="1CFE181B" w14:textId="77777777" w:rsidR="0001276B" w:rsidRPr="00DC0AFC" w:rsidRDefault="0001276B" w:rsidP="0089301B">
            <w:pPr>
              <w:jc w:val="both"/>
              <w:rPr>
                <w:rFonts w:ascii="Arial" w:hAnsi="Arial" w:cs="Arial"/>
                <w:sz w:val="20"/>
                <w:szCs w:val="20"/>
              </w:rPr>
            </w:pPr>
          </w:p>
          <w:p w14:paraId="347FE67D" w14:textId="2A82B033" w:rsidR="0001276B" w:rsidRPr="00DC0AFC" w:rsidRDefault="0001276B" w:rsidP="0089301B">
            <w:pPr>
              <w:jc w:val="both"/>
              <w:rPr>
                <w:rFonts w:ascii="Arial" w:hAnsi="Arial" w:cs="Arial"/>
                <w:sz w:val="20"/>
                <w:szCs w:val="20"/>
              </w:rPr>
            </w:pPr>
            <w:r w:rsidRPr="00DC0AFC">
              <w:rPr>
                <w:rFonts w:ascii="Arial" w:hAnsi="Arial" w:cs="Arial"/>
                <w:sz w:val="20"/>
                <w:szCs w:val="20"/>
              </w:rPr>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p>
          <w:p w14:paraId="272C1093" w14:textId="77777777" w:rsidR="0001276B" w:rsidRPr="00DC0AFC" w:rsidRDefault="0001276B" w:rsidP="0089301B">
            <w:pPr>
              <w:jc w:val="both"/>
              <w:rPr>
                <w:rFonts w:ascii="Arial" w:hAnsi="Arial" w:cs="Arial"/>
                <w:sz w:val="20"/>
                <w:szCs w:val="20"/>
              </w:rPr>
            </w:pPr>
          </w:p>
          <w:p w14:paraId="29BA11F1" w14:textId="77777777" w:rsidR="0001276B" w:rsidRPr="00DC0AFC" w:rsidRDefault="0001276B" w:rsidP="0089301B">
            <w:pPr>
              <w:jc w:val="both"/>
              <w:rPr>
                <w:rFonts w:ascii="Arial" w:hAnsi="Arial" w:cs="Arial"/>
                <w:sz w:val="20"/>
                <w:szCs w:val="20"/>
              </w:rPr>
            </w:pPr>
            <w:r w:rsidRPr="00DC0AFC">
              <w:rPr>
                <w:rFonts w:ascii="Arial" w:hAnsi="Arial" w:cs="Arial"/>
                <w:sz w:val="20"/>
                <w:szCs w:val="20"/>
              </w:rPr>
              <w:t>4.2.3 The following shall serve as certifications to commence Test and Commissioning:</w:t>
            </w:r>
          </w:p>
          <w:p w14:paraId="624F1DCB" w14:textId="77777777" w:rsidR="0001276B" w:rsidRPr="00DC0AFC" w:rsidRDefault="0001276B" w:rsidP="0089301B">
            <w:pPr>
              <w:jc w:val="both"/>
              <w:rPr>
                <w:rFonts w:ascii="Arial" w:hAnsi="Arial" w:cs="Arial"/>
                <w:sz w:val="20"/>
                <w:szCs w:val="20"/>
              </w:rPr>
            </w:pPr>
          </w:p>
          <w:p w14:paraId="263D8D03" w14:textId="6522F1E2" w:rsidR="0001276B" w:rsidRPr="00DC0AFC" w:rsidRDefault="0001276B" w:rsidP="0089301B">
            <w:pPr>
              <w:jc w:val="both"/>
              <w:rPr>
                <w:rFonts w:ascii="Arial" w:hAnsi="Arial" w:cs="Arial"/>
                <w:sz w:val="20"/>
                <w:szCs w:val="20"/>
              </w:rPr>
            </w:pPr>
            <w:r w:rsidRPr="00DC0AFC">
              <w:rPr>
                <w:rFonts w:ascii="Arial" w:hAnsi="Arial" w:cs="Arial"/>
                <w:sz w:val="20"/>
                <w:szCs w:val="20"/>
              </w:rPr>
              <w:t>4.2.3.1 For grid-connected Generation Facilities, a Provisional CATC issued by the TNP.</w:t>
            </w:r>
          </w:p>
          <w:p w14:paraId="22577FB6" w14:textId="13687401" w:rsidR="0001276B" w:rsidRPr="00DC0AFC" w:rsidRDefault="0001276B" w:rsidP="0089301B">
            <w:pPr>
              <w:jc w:val="both"/>
              <w:rPr>
                <w:rFonts w:ascii="Arial" w:hAnsi="Arial" w:cs="Arial"/>
                <w:sz w:val="20"/>
                <w:szCs w:val="20"/>
              </w:rPr>
            </w:pPr>
            <w:r w:rsidRPr="00DC0AFC">
              <w:rPr>
                <w:rFonts w:ascii="Arial" w:hAnsi="Arial" w:cs="Arial"/>
                <w:sz w:val="20"/>
                <w:szCs w:val="20"/>
              </w:rPr>
              <w:t>4.2.3.2 For Embedded Generators:</w:t>
            </w:r>
          </w:p>
          <w:p w14:paraId="11CB37DF" w14:textId="17D38E2D" w:rsidR="0001276B" w:rsidRPr="00DC0AFC" w:rsidRDefault="0001276B" w:rsidP="0089301B">
            <w:pPr>
              <w:jc w:val="both"/>
              <w:rPr>
                <w:rFonts w:ascii="Arial" w:hAnsi="Arial" w:cs="Arial"/>
                <w:sz w:val="20"/>
                <w:szCs w:val="20"/>
              </w:rPr>
            </w:pPr>
            <w:r w:rsidRPr="00DC0AFC">
              <w:rPr>
                <w:rFonts w:ascii="Arial" w:hAnsi="Arial" w:cs="Arial"/>
                <w:sz w:val="20"/>
                <w:szCs w:val="20"/>
              </w:rPr>
              <w:t>a) Provisional CATC issued by the DU; and</w:t>
            </w:r>
          </w:p>
          <w:p w14:paraId="2CECE490" w14:textId="5C8E55F7" w:rsidR="0001276B" w:rsidRPr="00DC0AFC" w:rsidRDefault="0001276B" w:rsidP="0089301B">
            <w:pPr>
              <w:jc w:val="both"/>
              <w:rPr>
                <w:rFonts w:ascii="Arial" w:hAnsi="Arial" w:cs="Arial"/>
                <w:sz w:val="20"/>
                <w:szCs w:val="20"/>
              </w:rPr>
            </w:pPr>
            <w:r w:rsidRPr="00DC0AFC">
              <w:rPr>
                <w:rFonts w:ascii="Arial" w:hAnsi="Arial" w:cs="Arial"/>
                <w:sz w:val="20"/>
                <w:szCs w:val="20"/>
              </w:rPr>
              <w:t>b) Clearance to Energize from the TNP.</w:t>
            </w:r>
          </w:p>
          <w:p w14:paraId="0ED7957B" w14:textId="77777777" w:rsidR="0001276B" w:rsidRPr="00DC0AFC" w:rsidRDefault="0001276B" w:rsidP="0089301B">
            <w:pPr>
              <w:jc w:val="both"/>
              <w:rPr>
                <w:rFonts w:ascii="Arial" w:hAnsi="Arial" w:cs="Arial"/>
                <w:sz w:val="20"/>
                <w:szCs w:val="20"/>
              </w:rPr>
            </w:pPr>
          </w:p>
          <w:p w14:paraId="1170D986" w14:textId="30366DBB" w:rsidR="0001276B" w:rsidRPr="00DC0AFC" w:rsidRDefault="0001276B" w:rsidP="0089301B">
            <w:pPr>
              <w:jc w:val="both"/>
              <w:rPr>
                <w:rFonts w:ascii="Arial" w:hAnsi="Arial" w:cs="Arial"/>
                <w:sz w:val="20"/>
                <w:szCs w:val="20"/>
              </w:rPr>
            </w:pPr>
            <w:r w:rsidRPr="00DC0AFC">
              <w:rPr>
                <w:rFonts w:ascii="Arial" w:hAnsi="Arial" w:cs="Arial"/>
                <w:sz w:val="20"/>
                <w:szCs w:val="20"/>
              </w:rPr>
              <w:t>A Clearance to Energize shall be secured in accordance with the processes of the TNP.</w:t>
            </w:r>
          </w:p>
          <w:p w14:paraId="3C2B15D1" w14:textId="77777777" w:rsidR="0001276B" w:rsidRPr="00DC0AFC" w:rsidRDefault="0001276B" w:rsidP="0089301B">
            <w:pPr>
              <w:jc w:val="both"/>
              <w:rPr>
                <w:rFonts w:ascii="Arial" w:hAnsi="Arial" w:cs="Arial"/>
                <w:sz w:val="20"/>
                <w:szCs w:val="20"/>
              </w:rPr>
            </w:pPr>
          </w:p>
          <w:p w14:paraId="518E8121" w14:textId="5BBC0DB3" w:rsidR="0001276B" w:rsidRPr="00DC0AFC" w:rsidRDefault="0001276B" w:rsidP="0089301B">
            <w:pPr>
              <w:jc w:val="both"/>
              <w:rPr>
                <w:rFonts w:ascii="Arial" w:hAnsi="Arial" w:cs="Arial"/>
                <w:sz w:val="20"/>
                <w:szCs w:val="20"/>
              </w:rPr>
            </w:pPr>
            <w:r w:rsidRPr="00DC0AFC">
              <w:rPr>
                <w:rFonts w:ascii="Arial" w:hAnsi="Arial" w:cs="Arial"/>
                <w:sz w:val="20"/>
                <w:szCs w:val="20"/>
              </w:rPr>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r w:rsidRPr="00DC0AFC">
              <w:rPr>
                <w:rFonts w:ascii="Arial" w:hAnsi="Arial" w:cs="Arial"/>
                <w:sz w:val="20"/>
                <w:szCs w:val="20"/>
              </w:rPr>
              <w:t>”</w:t>
            </w:r>
          </w:p>
        </w:tc>
        <w:tc>
          <w:tcPr>
            <w:tcW w:w="1580" w:type="pct"/>
          </w:tcPr>
          <w:p w14:paraId="1BF6B5CD" w14:textId="77777777" w:rsidR="0001276B" w:rsidRPr="00DC0AFC" w:rsidRDefault="0001276B" w:rsidP="00F34FC6">
            <w:pPr>
              <w:jc w:val="both"/>
              <w:rPr>
                <w:rFonts w:ascii="Arial" w:hAnsi="Arial" w:cs="Arial"/>
                <w:sz w:val="20"/>
                <w:szCs w:val="20"/>
              </w:rPr>
            </w:pPr>
            <w:r w:rsidRPr="00DC0AFC">
              <w:rPr>
                <w:rFonts w:ascii="Arial" w:hAnsi="Arial" w:cs="Arial"/>
                <w:sz w:val="20"/>
                <w:szCs w:val="20"/>
              </w:rPr>
              <w:t>4.2 Procedures Before Test and Commissioning</w:t>
            </w:r>
          </w:p>
          <w:p w14:paraId="62A93843" w14:textId="77777777" w:rsidR="0001276B" w:rsidRPr="00DC0AFC" w:rsidRDefault="0001276B" w:rsidP="00F34FC6">
            <w:pPr>
              <w:jc w:val="both"/>
              <w:rPr>
                <w:rFonts w:ascii="Arial" w:hAnsi="Arial" w:cs="Arial"/>
                <w:sz w:val="20"/>
                <w:szCs w:val="20"/>
              </w:rPr>
            </w:pPr>
          </w:p>
          <w:p w14:paraId="10E0446D" w14:textId="77777777" w:rsidR="0001276B" w:rsidRPr="00DC0AFC" w:rsidRDefault="0001276B" w:rsidP="00F34FC6">
            <w:pPr>
              <w:jc w:val="both"/>
              <w:rPr>
                <w:rFonts w:ascii="Arial" w:hAnsi="Arial" w:cs="Arial"/>
                <w:sz w:val="20"/>
                <w:szCs w:val="20"/>
              </w:rPr>
            </w:pPr>
            <w:r w:rsidRPr="00DC0AFC">
              <w:rPr>
                <w:rFonts w:ascii="Arial" w:hAnsi="Arial" w:cs="Arial"/>
                <w:sz w:val="20"/>
                <w:szCs w:val="20"/>
              </w:rPr>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p>
          <w:p w14:paraId="06ADB429" w14:textId="77777777" w:rsidR="0001276B" w:rsidRPr="00DC0AFC" w:rsidRDefault="0001276B" w:rsidP="00F34FC6">
            <w:pPr>
              <w:jc w:val="both"/>
              <w:rPr>
                <w:rFonts w:ascii="Arial" w:hAnsi="Arial" w:cs="Arial"/>
                <w:sz w:val="20"/>
                <w:szCs w:val="20"/>
              </w:rPr>
            </w:pPr>
          </w:p>
          <w:p w14:paraId="381FA5CC" w14:textId="77777777" w:rsidR="00145EAA" w:rsidRPr="00D97A53" w:rsidRDefault="00145EAA" w:rsidP="00145EAA">
            <w:pPr>
              <w:jc w:val="both"/>
              <w:rPr>
                <w:rFonts w:ascii="Arial" w:hAnsi="Arial" w:cs="Arial"/>
                <w:strike/>
                <w:color w:val="FF0000"/>
                <w:sz w:val="20"/>
                <w:szCs w:val="20"/>
              </w:rPr>
            </w:pPr>
            <w:r w:rsidRPr="00D97A53">
              <w:rPr>
                <w:rFonts w:ascii="Arial" w:hAnsi="Arial" w:cs="Arial"/>
                <w:strike/>
                <w:color w:val="FF0000"/>
                <w:sz w:val="20"/>
                <w:szCs w:val="20"/>
              </w:rPr>
              <w:t>4.2.3 The following shall serve as certifications to commence Test and Commissioning:</w:t>
            </w:r>
          </w:p>
          <w:p w14:paraId="0646CECF" w14:textId="77777777" w:rsidR="0001276B" w:rsidRPr="00D97A53" w:rsidRDefault="0001276B" w:rsidP="00F34FC6">
            <w:pPr>
              <w:jc w:val="both"/>
              <w:rPr>
                <w:rFonts w:ascii="Arial" w:hAnsi="Arial" w:cs="Arial"/>
                <w:strike/>
                <w:color w:val="FF0000"/>
                <w:sz w:val="20"/>
                <w:szCs w:val="20"/>
              </w:rPr>
            </w:pPr>
          </w:p>
          <w:p w14:paraId="5A5A334C" w14:textId="0DB12B5B" w:rsidR="0001276B" w:rsidRPr="00D97A53" w:rsidRDefault="0001276B" w:rsidP="00F34FC6">
            <w:pPr>
              <w:jc w:val="both"/>
              <w:rPr>
                <w:rFonts w:ascii="Arial" w:hAnsi="Arial" w:cs="Arial"/>
                <w:strike/>
                <w:color w:val="FF0000"/>
                <w:sz w:val="20"/>
                <w:szCs w:val="20"/>
              </w:rPr>
            </w:pPr>
            <w:r w:rsidRPr="00D97A53">
              <w:rPr>
                <w:rFonts w:ascii="Arial" w:hAnsi="Arial" w:cs="Arial"/>
                <w:strike/>
                <w:color w:val="FF0000"/>
                <w:sz w:val="20"/>
                <w:szCs w:val="20"/>
              </w:rPr>
              <w:t>4.2.3.1 For grid-connected Generation Facilities, a Provisional CATC issued by the TNP.</w:t>
            </w:r>
          </w:p>
          <w:p w14:paraId="516ED9BA" w14:textId="29370389" w:rsidR="0001276B" w:rsidRPr="00D97A53" w:rsidRDefault="0001276B" w:rsidP="00F34FC6">
            <w:pPr>
              <w:jc w:val="both"/>
              <w:rPr>
                <w:rFonts w:ascii="Arial" w:hAnsi="Arial" w:cs="Arial"/>
                <w:strike/>
                <w:color w:val="FF0000"/>
                <w:sz w:val="20"/>
                <w:szCs w:val="20"/>
              </w:rPr>
            </w:pPr>
            <w:r w:rsidRPr="00D97A53">
              <w:rPr>
                <w:rFonts w:ascii="Arial" w:hAnsi="Arial" w:cs="Arial"/>
                <w:strike/>
                <w:color w:val="FF0000"/>
                <w:sz w:val="20"/>
                <w:szCs w:val="20"/>
              </w:rPr>
              <w:t>4.2.3.2 For Embedded Generators:</w:t>
            </w:r>
          </w:p>
          <w:p w14:paraId="24A39CB9" w14:textId="77777777" w:rsidR="0001276B" w:rsidRPr="00D97A53" w:rsidRDefault="0001276B" w:rsidP="00F34FC6">
            <w:pPr>
              <w:jc w:val="both"/>
              <w:rPr>
                <w:rFonts w:ascii="Arial" w:hAnsi="Arial" w:cs="Arial"/>
                <w:strike/>
                <w:color w:val="FF0000"/>
                <w:sz w:val="20"/>
                <w:szCs w:val="20"/>
              </w:rPr>
            </w:pPr>
            <w:r w:rsidRPr="00D97A53">
              <w:rPr>
                <w:rFonts w:ascii="Arial" w:hAnsi="Arial" w:cs="Arial"/>
                <w:strike/>
                <w:color w:val="FF0000"/>
                <w:sz w:val="20"/>
                <w:szCs w:val="20"/>
              </w:rPr>
              <w:t>a) Provisional CATC issued by the DU; and</w:t>
            </w:r>
          </w:p>
          <w:p w14:paraId="33C02B1E" w14:textId="77777777" w:rsidR="0001276B" w:rsidRPr="00D97A53" w:rsidRDefault="0001276B" w:rsidP="00F34FC6">
            <w:pPr>
              <w:jc w:val="both"/>
              <w:rPr>
                <w:rFonts w:ascii="Arial" w:hAnsi="Arial" w:cs="Arial"/>
                <w:strike/>
                <w:color w:val="FF0000"/>
                <w:sz w:val="20"/>
                <w:szCs w:val="20"/>
              </w:rPr>
            </w:pPr>
            <w:r w:rsidRPr="00D97A53">
              <w:rPr>
                <w:rFonts w:ascii="Arial" w:hAnsi="Arial" w:cs="Arial"/>
                <w:strike/>
                <w:color w:val="FF0000"/>
                <w:sz w:val="20"/>
                <w:szCs w:val="20"/>
              </w:rPr>
              <w:t>b) Clearance to Energize from the TNP.</w:t>
            </w:r>
          </w:p>
          <w:p w14:paraId="6E42E36E" w14:textId="77777777" w:rsidR="0001276B" w:rsidRPr="00D97A53" w:rsidRDefault="0001276B" w:rsidP="00F34FC6">
            <w:pPr>
              <w:jc w:val="both"/>
              <w:rPr>
                <w:rFonts w:ascii="Arial" w:hAnsi="Arial" w:cs="Arial"/>
                <w:strike/>
                <w:color w:val="FF0000"/>
                <w:sz w:val="20"/>
                <w:szCs w:val="20"/>
              </w:rPr>
            </w:pPr>
          </w:p>
          <w:p w14:paraId="171BE262" w14:textId="77777777" w:rsidR="0001276B" w:rsidRPr="00D97A53" w:rsidRDefault="0001276B" w:rsidP="00F34FC6">
            <w:pPr>
              <w:jc w:val="both"/>
              <w:rPr>
                <w:rFonts w:ascii="Arial" w:hAnsi="Arial" w:cs="Arial"/>
                <w:strike/>
                <w:color w:val="FF0000"/>
                <w:sz w:val="20"/>
                <w:szCs w:val="20"/>
              </w:rPr>
            </w:pPr>
            <w:r w:rsidRPr="00D97A53">
              <w:rPr>
                <w:rFonts w:ascii="Arial" w:hAnsi="Arial" w:cs="Arial"/>
                <w:strike/>
                <w:color w:val="FF0000"/>
                <w:sz w:val="20"/>
                <w:szCs w:val="20"/>
              </w:rPr>
              <w:t>A Clearance to Energize shall be secured in accordance with the processes of the TNP.</w:t>
            </w:r>
          </w:p>
          <w:p w14:paraId="79D4AAB1" w14:textId="77777777" w:rsidR="0001276B" w:rsidRPr="00DC0AFC" w:rsidRDefault="0001276B" w:rsidP="00F34FC6">
            <w:pPr>
              <w:jc w:val="both"/>
              <w:rPr>
                <w:rFonts w:ascii="Arial" w:hAnsi="Arial" w:cs="Arial"/>
                <w:strike/>
                <w:sz w:val="20"/>
                <w:szCs w:val="20"/>
              </w:rPr>
            </w:pPr>
          </w:p>
          <w:p w14:paraId="6B745D18" w14:textId="2E263E6B" w:rsidR="00145EAA" w:rsidRPr="00145EAA" w:rsidRDefault="00145EAA" w:rsidP="00145EAA">
            <w:pPr>
              <w:jc w:val="both"/>
              <w:rPr>
                <w:rFonts w:ascii="Arial" w:hAnsi="Arial" w:cs="Arial"/>
                <w:b/>
                <w:bCs/>
                <w:sz w:val="20"/>
                <w:szCs w:val="20"/>
                <w:u w:val="single"/>
              </w:rPr>
            </w:pPr>
            <w:r w:rsidRPr="31C22A3A">
              <w:rPr>
                <w:rFonts w:ascii="Arial" w:hAnsi="Arial" w:cs="Arial"/>
                <w:b/>
                <w:bCs/>
                <w:sz w:val="20"/>
                <w:szCs w:val="20"/>
                <w:u w:val="single"/>
              </w:rPr>
              <w:t xml:space="preserve">4.2.3 </w:t>
            </w:r>
            <w:bookmarkStart w:id="0" w:name="_Hlk140752261"/>
            <w:r w:rsidRPr="31C22A3A">
              <w:rPr>
                <w:rFonts w:ascii="Arial" w:hAnsi="Arial" w:cs="Arial"/>
                <w:b/>
                <w:bCs/>
                <w:sz w:val="20"/>
                <w:szCs w:val="20"/>
                <w:u w:val="single"/>
              </w:rPr>
              <w:t xml:space="preserve">The </w:t>
            </w:r>
            <w:r w:rsidR="12CA3BBE" w:rsidRPr="31C22A3A">
              <w:rPr>
                <w:rFonts w:ascii="Arial" w:hAnsi="Arial" w:cs="Arial"/>
                <w:b/>
                <w:bCs/>
                <w:sz w:val="20"/>
                <w:szCs w:val="20"/>
                <w:u w:val="single"/>
              </w:rPr>
              <w:t xml:space="preserve">relevant Network Service Provider shall issue the </w:t>
            </w:r>
            <w:r w:rsidRPr="31C22A3A">
              <w:rPr>
                <w:rFonts w:ascii="Arial" w:hAnsi="Arial" w:cs="Arial"/>
                <w:b/>
                <w:bCs/>
                <w:sz w:val="20"/>
                <w:szCs w:val="20"/>
                <w:u w:val="single"/>
              </w:rPr>
              <w:t xml:space="preserve">Provisional Certificate of Approval to Connect (PCATC) </w:t>
            </w:r>
            <w:r w:rsidR="639A7FD7" w:rsidRPr="31C22A3A">
              <w:rPr>
                <w:rFonts w:ascii="Arial" w:hAnsi="Arial" w:cs="Arial"/>
                <w:b/>
                <w:bCs/>
                <w:sz w:val="20"/>
                <w:szCs w:val="20"/>
                <w:u w:val="single"/>
              </w:rPr>
              <w:t xml:space="preserve">to commence the conduct of </w:t>
            </w:r>
            <w:r w:rsidRPr="31C22A3A">
              <w:rPr>
                <w:rFonts w:ascii="Arial" w:hAnsi="Arial" w:cs="Arial"/>
                <w:b/>
                <w:bCs/>
                <w:sz w:val="20"/>
                <w:szCs w:val="20"/>
                <w:u w:val="single"/>
              </w:rPr>
              <w:t xml:space="preserve">Test and Commissioning activities. </w:t>
            </w:r>
            <w:r w:rsidR="6A01163B" w:rsidRPr="31C22A3A">
              <w:rPr>
                <w:rFonts w:ascii="Arial" w:hAnsi="Arial" w:cs="Arial"/>
                <w:b/>
                <w:bCs/>
                <w:sz w:val="20"/>
                <w:szCs w:val="20"/>
                <w:u w:val="single"/>
              </w:rPr>
              <w:t>For clarity, t</w:t>
            </w:r>
            <w:r w:rsidRPr="31C22A3A">
              <w:rPr>
                <w:rFonts w:ascii="Arial" w:hAnsi="Arial" w:cs="Arial"/>
                <w:b/>
                <w:bCs/>
                <w:sz w:val="20"/>
                <w:szCs w:val="20"/>
                <w:u w:val="single"/>
              </w:rPr>
              <w:t>he TNP shall issue the PCATC for grid-connected generation facilities, whereas the DU shall issue the PCATC for Embedded Generators.</w:t>
            </w:r>
            <w:bookmarkEnd w:id="0"/>
          </w:p>
          <w:p w14:paraId="4235EBC8" w14:textId="77777777" w:rsidR="00145EAA" w:rsidRPr="00DC0AFC" w:rsidRDefault="00145EAA" w:rsidP="00145EAA">
            <w:pPr>
              <w:jc w:val="both"/>
              <w:rPr>
                <w:rFonts w:ascii="Arial" w:hAnsi="Arial" w:cs="Arial"/>
                <w:sz w:val="20"/>
                <w:szCs w:val="20"/>
              </w:rPr>
            </w:pPr>
          </w:p>
          <w:p w14:paraId="62FCB51D" w14:textId="5E08B336" w:rsidR="0001276B" w:rsidRPr="00DC0AFC" w:rsidRDefault="0001276B" w:rsidP="00F34FC6">
            <w:pPr>
              <w:jc w:val="both"/>
              <w:rPr>
                <w:rFonts w:ascii="Arial" w:hAnsi="Arial" w:cs="Arial"/>
                <w:sz w:val="20"/>
                <w:szCs w:val="20"/>
              </w:rPr>
            </w:pPr>
            <w:r w:rsidRPr="00DC0AFC">
              <w:rPr>
                <w:rFonts w:ascii="Arial" w:hAnsi="Arial" w:cs="Arial"/>
                <w:sz w:val="20"/>
                <w:szCs w:val="20"/>
              </w:rPr>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r w:rsidRPr="00DC0AFC">
              <w:rPr>
                <w:rFonts w:ascii="Arial" w:hAnsi="Arial" w:cs="Arial"/>
                <w:sz w:val="20"/>
                <w:szCs w:val="20"/>
              </w:rPr>
              <w:t>”</w:t>
            </w:r>
          </w:p>
        </w:tc>
        <w:tc>
          <w:tcPr>
            <w:tcW w:w="936" w:type="pct"/>
          </w:tcPr>
          <w:p w14:paraId="2DE4879A" w14:textId="77777777" w:rsidR="0001276B" w:rsidRDefault="00CB192D" w:rsidP="00CE1C90">
            <w:pPr>
              <w:jc w:val="both"/>
              <w:rPr>
                <w:rFonts w:ascii="Arial" w:hAnsi="Arial" w:cs="Arial"/>
                <w:sz w:val="20"/>
                <w:szCs w:val="20"/>
              </w:rPr>
            </w:pPr>
            <w:r w:rsidRPr="00DC0AFC">
              <w:rPr>
                <w:rFonts w:ascii="Arial" w:hAnsi="Arial" w:cs="Arial"/>
                <w:sz w:val="20"/>
                <w:szCs w:val="20"/>
              </w:rPr>
              <w:t>Based on the meeting with ERC conducted last 30 May 2023 on the Proposed Revision of COC Rules.</w:t>
            </w:r>
          </w:p>
          <w:p w14:paraId="4206D0A7" w14:textId="77777777" w:rsidR="00145EAA" w:rsidRDefault="00145EAA" w:rsidP="00CE1C90">
            <w:pPr>
              <w:jc w:val="both"/>
              <w:rPr>
                <w:rFonts w:ascii="Arial" w:hAnsi="Arial" w:cs="Arial"/>
                <w:sz w:val="20"/>
                <w:szCs w:val="20"/>
              </w:rPr>
            </w:pPr>
          </w:p>
          <w:p w14:paraId="271750DF" w14:textId="77777777" w:rsidR="00145EAA" w:rsidRDefault="00145EAA" w:rsidP="00CE1C90">
            <w:pPr>
              <w:jc w:val="both"/>
              <w:rPr>
                <w:rFonts w:ascii="Arial" w:hAnsi="Arial" w:cs="Arial"/>
                <w:sz w:val="20"/>
                <w:szCs w:val="20"/>
              </w:rPr>
            </w:pPr>
          </w:p>
          <w:p w14:paraId="706F20FE" w14:textId="77777777" w:rsidR="00145EAA" w:rsidRDefault="00145EAA" w:rsidP="00CE1C90">
            <w:pPr>
              <w:jc w:val="both"/>
              <w:rPr>
                <w:rFonts w:ascii="Arial" w:hAnsi="Arial" w:cs="Arial"/>
                <w:sz w:val="20"/>
                <w:szCs w:val="20"/>
              </w:rPr>
            </w:pPr>
          </w:p>
          <w:p w14:paraId="4378E3A8" w14:textId="77777777" w:rsidR="00145EAA" w:rsidRDefault="00145EAA" w:rsidP="00CE1C90">
            <w:pPr>
              <w:jc w:val="both"/>
              <w:rPr>
                <w:rFonts w:ascii="Arial" w:hAnsi="Arial" w:cs="Arial"/>
                <w:sz w:val="20"/>
                <w:szCs w:val="20"/>
              </w:rPr>
            </w:pPr>
          </w:p>
          <w:p w14:paraId="31D137CA" w14:textId="77777777" w:rsidR="00145EAA" w:rsidRDefault="00145EAA" w:rsidP="00CE1C90">
            <w:pPr>
              <w:jc w:val="both"/>
              <w:rPr>
                <w:rFonts w:ascii="Arial" w:hAnsi="Arial" w:cs="Arial"/>
                <w:sz w:val="20"/>
                <w:szCs w:val="20"/>
              </w:rPr>
            </w:pPr>
          </w:p>
          <w:p w14:paraId="3BEF9D12" w14:textId="48E8D7A6" w:rsidR="00CF4085" w:rsidRPr="00CF4085" w:rsidRDefault="00CF4085" w:rsidP="00CE1C90">
            <w:pPr>
              <w:jc w:val="both"/>
              <w:rPr>
                <w:rFonts w:ascii="Arial" w:hAnsi="Arial" w:cs="Arial"/>
                <w:sz w:val="20"/>
                <w:szCs w:val="20"/>
              </w:rPr>
            </w:pPr>
          </w:p>
        </w:tc>
      </w:tr>
      <w:tr w:rsidR="006E76C8" w:rsidRPr="00DC0AFC" w14:paraId="0455612E" w14:textId="77777777" w:rsidTr="31C22A3A">
        <w:trPr>
          <w:trHeight w:val="300"/>
        </w:trPr>
        <w:tc>
          <w:tcPr>
            <w:tcW w:w="631" w:type="pct"/>
          </w:tcPr>
          <w:p w14:paraId="7F8F84C7" w14:textId="312244F5" w:rsidR="006E76C8" w:rsidRPr="00DC0AFC" w:rsidRDefault="006E76C8" w:rsidP="006E76C8">
            <w:pPr>
              <w:jc w:val="both"/>
              <w:rPr>
                <w:rFonts w:ascii="Arial" w:hAnsi="Arial" w:cs="Arial"/>
                <w:sz w:val="20"/>
                <w:szCs w:val="20"/>
              </w:rPr>
            </w:pPr>
            <w:r w:rsidRPr="00DC0AFC">
              <w:rPr>
                <w:rFonts w:ascii="Arial" w:hAnsi="Arial" w:cs="Arial"/>
                <w:sz w:val="20"/>
                <w:szCs w:val="20"/>
              </w:rPr>
              <w:t xml:space="preserve">Procedures </w:t>
            </w:r>
            <w:r w:rsidR="00145EAA">
              <w:rPr>
                <w:rFonts w:ascii="Arial" w:hAnsi="Arial" w:cs="Arial"/>
                <w:sz w:val="20"/>
                <w:szCs w:val="20"/>
              </w:rPr>
              <w:t>During</w:t>
            </w:r>
            <w:r w:rsidRPr="00DC0AFC">
              <w:rPr>
                <w:rFonts w:ascii="Arial" w:hAnsi="Arial" w:cs="Arial"/>
                <w:sz w:val="20"/>
                <w:szCs w:val="20"/>
              </w:rPr>
              <w:t xml:space="preserve"> Test and Commissioning</w:t>
            </w:r>
          </w:p>
        </w:tc>
        <w:tc>
          <w:tcPr>
            <w:tcW w:w="363" w:type="pct"/>
          </w:tcPr>
          <w:p w14:paraId="3FE5CE96" w14:textId="6935FBD1" w:rsidR="006E76C8" w:rsidRPr="00DC0AFC" w:rsidRDefault="006E76C8" w:rsidP="006E76C8">
            <w:pPr>
              <w:jc w:val="center"/>
              <w:rPr>
                <w:rFonts w:ascii="Arial" w:hAnsi="Arial" w:cs="Arial"/>
                <w:sz w:val="20"/>
                <w:szCs w:val="20"/>
              </w:rPr>
            </w:pPr>
            <w:r w:rsidRPr="00DC0AFC">
              <w:rPr>
                <w:rFonts w:ascii="Arial" w:hAnsi="Arial" w:cs="Arial"/>
                <w:sz w:val="20"/>
                <w:szCs w:val="20"/>
              </w:rPr>
              <w:t>4.3</w:t>
            </w:r>
          </w:p>
        </w:tc>
        <w:tc>
          <w:tcPr>
            <w:tcW w:w="1490" w:type="pct"/>
          </w:tcPr>
          <w:p w14:paraId="47DFC2AA" w14:textId="77777777" w:rsidR="00145EAA" w:rsidRDefault="00145EAA" w:rsidP="006E76C8">
            <w:pPr>
              <w:jc w:val="both"/>
              <w:rPr>
                <w:rFonts w:ascii="Arial" w:hAnsi="Arial" w:cs="Arial"/>
                <w:sz w:val="20"/>
                <w:szCs w:val="20"/>
              </w:rPr>
            </w:pPr>
            <w:r w:rsidRPr="00145EAA">
              <w:rPr>
                <w:rFonts w:ascii="Arial" w:hAnsi="Arial" w:cs="Arial"/>
                <w:sz w:val="20"/>
                <w:szCs w:val="20"/>
              </w:rPr>
              <w:t xml:space="preserve">4.3 Procedures During Test and Commissioning </w:t>
            </w:r>
          </w:p>
          <w:p w14:paraId="07651718" w14:textId="77777777" w:rsidR="00145EAA" w:rsidRDefault="00145EAA" w:rsidP="006E76C8">
            <w:pPr>
              <w:jc w:val="both"/>
              <w:rPr>
                <w:rFonts w:ascii="Arial" w:hAnsi="Arial" w:cs="Arial"/>
                <w:sz w:val="20"/>
                <w:szCs w:val="20"/>
              </w:rPr>
            </w:pPr>
          </w:p>
          <w:p w14:paraId="3A062C17" w14:textId="4C33A818" w:rsidR="006E76C8" w:rsidRPr="00DC0AFC" w:rsidRDefault="00145EAA" w:rsidP="006E76C8">
            <w:pPr>
              <w:jc w:val="both"/>
              <w:rPr>
                <w:rFonts w:ascii="Arial" w:hAnsi="Arial" w:cs="Arial"/>
                <w:sz w:val="20"/>
                <w:szCs w:val="20"/>
              </w:rPr>
            </w:pPr>
            <w:r>
              <w:rPr>
                <w:rFonts w:ascii="Arial" w:hAnsi="Arial" w:cs="Arial"/>
                <w:sz w:val="20"/>
                <w:szCs w:val="20"/>
              </w:rPr>
              <w:t>x</w:t>
            </w:r>
            <w:r w:rsidR="006E76C8" w:rsidRPr="00DC0AFC">
              <w:rPr>
                <w:rFonts w:ascii="Arial" w:hAnsi="Arial" w:cs="Arial"/>
                <w:sz w:val="20"/>
                <w:szCs w:val="20"/>
              </w:rPr>
              <w:t xml:space="preserve">xx </w:t>
            </w:r>
            <w:proofErr w:type="spellStart"/>
            <w:r w:rsidR="006E76C8" w:rsidRPr="00DC0AFC">
              <w:rPr>
                <w:rFonts w:ascii="Arial" w:hAnsi="Arial" w:cs="Arial"/>
                <w:sz w:val="20"/>
                <w:szCs w:val="20"/>
              </w:rPr>
              <w:t>xxx</w:t>
            </w:r>
            <w:proofErr w:type="spellEnd"/>
            <w:r w:rsidR="006E76C8" w:rsidRPr="00DC0AFC">
              <w:rPr>
                <w:rFonts w:ascii="Arial" w:hAnsi="Arial" w:cs="Arial"/>
                <w:sz w:val="20"/>
                <w:szCs w:val="20"/>
              </w:rPr>
              <w:t xml:space="preserve"> </w:t>
            </w:r>
            <w:proofErr w:type="spellStart"/>
            <w:r w:rsidR="006E76C8" w:rsidRPr="00DC0AFC">
              <w:rPr>
                <w:rFonts w:ascii="Arial" w:hAnsi="Arial" w:cs="Arial"/>
                <w:sz w:val="20"/>
                <w:szCs w:val="20"/>
              </w:rPr>
              <w:t>xxx</w:t>
            </w:r>
            <w:proofErr w:type="spellEnd"/>
            <w:r w:rsidR="006E76C8" w:rsidRPr="00DC0AFC">
              <w:rPr>
                <w:rFonts w:ascii="Arial" w:hAnsi="Arial" w:cs="Arial"/>
                <w:sz w:val="20"/>
                <w:szCs w:val="20"/>
              </w:rPr>
              <w:t xml:space="preserve"> </w:t>
            </w:r>
          </w:p>
          <w:p w14:paraId="2A2A9A90" w14:textId="401FB631" w:rsidR="006E76C8" w:rsidRPr="00DC0AFC" w:rsidRDefault="006E76C8" w:rsidP="006E76C8">
            <w:pPr>
              <w:jc w:val="both"/>
              <w:rPr>
                <w:rFonts w:ascii="Arial" w:hAnsi="Arial" w:cs="Arial"/>
                <w:sz w:val="20"/>
                <w:szCs w:val="20"/>
              </w:rPr>
            </w:pPr>
          </w:p>
          <w:p w14:paraId="673370BB" w14:textId="76180AEF" w:rsidR="006E76C8" w:rsidRPr="00DC0AFC" w:rsidRDefault="006E76C8" w:rsidP="006E76C8">
            <w:pPr>
              <w:jc w:val="both"/>
              <w:rPr>
                <w:rFonts w:ascii="Arial" w:hAnsi="Arial" w:cs="Arial"/>
                <w:sz w:val="20"/>
                <w:szCs w:val="20"/>
              </w:rPr>
            </w:pPr>
            <w:r w:rsidRPr="00DC0AFC">
              <w:rPr>
                <w:rFonts w:ascii="Arial" w:hAnsi="Arial" w:cs="Arial"/>
                <w:sz w:val="20"/>
                <w:szCs w:val="20"/>
              </w:rPr>
              <w:t xml:space="preserve">4.3.1.2 The TNP, SO and the concerned DU shall witness the Test and Commissioning activities of Embedded Generators to be undertaken by a third-party testing entity. The DU or TNP may also conduct the Test and Commissioning activities </w:t>
            </w:r>
            <w:proofErr w:type="gramStart"/>
            <w:r w:rsidRPr="00DC0AFC">
              <w:rPr>
                <w:rFonts w:ascii="Arial" w:hAnsi="Arial" w:cs="Arial"/>
                <w:sz w:val="20"/>
                <w:szCs w:val="20"/>
              </w:rPr>
              <w:t>in the event that</w:t>
            </w:r>
            <w:proofErr w:type="gramEnd"/>
            <w:r w:rsidRPr="00DC0AFC">
              <w:rPr>
                <w:rFonts w:ascii="Arial" w:hAnsi="Arial" w:cs="Arial"/>
                <w:sz w:val="20"/>
                <w:szCs w:val="20"/>
              </w:rPr>
              <w:t xml:space="preserve"> a third-party testing entity is not available. </w:t>
            </w:r>
          </w:p>
          <w:p w14:paraId="3C4615BC" w14:textId="77777777" w:rsidR="001638AB" w:rsidRPr="00DC0AFC" w:rsidRDefault="001638AB" w:rsidP="006E76C8">
            <w:pPr>
              <w:jc w:val="both"/>
              <w:rPr>
                <w:rFonts w:ascii="Arial" w:hAnsi="Arial" w:cs="Arial"/>
                <w:sz w:val="20"/>
                <w:szCs w:val="20"/>
              </w:rPr>
            </w:pPr>
          </w:p>
          <w:p w14:paraId="6E3339EA" w14:textId="3B789611" w:rsidR="006E76C8" w:rsidRPr="00DC0AFC" w:rsidRDefault="006E76C8" w:rsidP="006E76C8">
            <w:pPr>
              <w:jc w:val="both"/>
              <w:rPr>
                <w:rFonts w:ascii="Arial" w:hAnsi="Arial" w:cs="Arial"/>
                <w:sz w:val="20"/>
                <w:szCs w:val="20"/>
              </w:rPr>
            </w:pPr>
            <w:r w:rsidRPr="00DC0AFC">
              <w:rPr>
                <w:rFonts w:ascii="Arial" w:hAnsi="Arial" w:cs="Arial"/>
                <w:sz w:val="20"/>
                <w:szCs w:val="20"/>
              </w:rPr>
              <w:lastRenderedPageBreak/>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r w:rsidRPr="00DC0AFC">
              <w:rPr>
                <w:rFonts w:ascii="Arial" w:hAnsi="Arial" w:cs="Arial"/>
                <w:sz w:val="20"/>
                <w:szCs w:val="20"/>
              </w:rPr>
              <w:t>”</w:t>
            </w:r>
          </w:p>
        </w:tc>
        <w:tc>
          <w:tcPr>
            <w:tcW w:w="1580" w:type="pct"/>
          </w:tcPr>
          <w:p w14:paraId="5A97114D" w14:textId="77777777" w:rsidR="00C21F76" w:rsidRDefault="00C21F76" w:rsidP="00C21F76">
            <w:pPr>
              <w:jc w:val="both"/>
              <w:rPr>
                <w:rFonts w:ascii="Arial" w:hAnsi="Arial" w:cs="Arial"/>
                <w:sz w:val="20"/>
                <w:szCs w:val="20"/>
              </w:rPr>
            </w:pPr>
            <w:r w:rsidRPr="00145EAA">
              <w:rPr>
                <w:rFonts w:ascii="Arial" w:hAnsi="Arial" w:cs="Arial"/>
                <w:sz w:val="20"/>
                <w:szCs w:val="20"/>
              </w:rPr>
              <w:lastRenderedPageBreak/>
              <w:t xml:space="preserve">4.3 Procedures During Test and Commissioning </w:t>
            </w:r>
          </w:p>
          <w:p w14:paraId="707FA171" w14:textId="77777777" w:rsidR="00C21F76" w:rsidRDefault="00C21F76" w:rsidP="00C21F76">
            <w:pPr>
              <w:jc w:val="both"/>
              <w:rPr>
                <w:rFonts w:ascii="Arial" w:hAnsi="Arial" w:cs="Arial"/>
                <w:sz w:val="20"/>
                <w:szCs w:val="20"/>
              </w:rPr>
            </w:pPr>
          </w:p>
          <w:p w14:paraId="6B617086" w14:textId="77777777" w:rsidR="00C21F76" w:rsidRPr="00DC0AFC" w:rsidRDefault="00C21F76" w:rsidP="00C21F76">
            <w:pPr>
              <w:jc w:val="both"/>
              <w:rPr>
                <w:rFonts w:ascii="Arial" w:hAnsi="Arial" w:cs="Arial"/>
                <w:sz w:val="20"/>
                <w:szCs w:val="20"/>
              </w:rPr>
            </w:pPr>
            <w:r>
              <w:rPr>
                <w:rFonts w:ascii="Arial" w:hAnsi="Arial" w:cs="Arial"/>
                <w:sz w:val="20"/>
                <w:szCs w:val="20"/>
              </w:rPr>
              <w:t>x</w:t>
            </w:r>
            <w:r w:rsidRPr="00DC0AFC">
              <w:rPr>
                <w:rFonts w:ascii="Arial" w:hAnsi="Arial" w:cs="Arial"/>
                <w:sz w:val="20"/>
                <w:szCs w:val="20"/>
              </w:rPr>
              <w:t xml:space="preserve">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
          <w:p w14:paraId="1426A3EB" w14:textId="77777777" w:rsidR="00C21F76" w:rsidRPr="00DC0AFC" w:rsidRDefault="00C21F76" w:rsidP="00C21F76">
            <w:pPr>
              <w:jc w:val="both"/>
              <w:rPr>
                <w:rFonts w:ascii="Arial" w:hAnsi="Arial" w:cs="Arial"/>
                <w:sz w:val="20"/>
                <w:szCs w:val="20"/>
              </w:rPr>
            </w:pPr>
          </w:p>
          <w:p w14:paraId="4C4193D5" w14:textId="509E016E" w:rsidR="00C21F76" w:rsidRDefault="00C21F76" w:rsidP="31C22A3A">
            <w:pPr>
              <w:jc w:val="both"/>
              <w:rPr>
                <w:rFonts w:ascii="Arial" w:hAnsi="Arial" w:cs="Arial"/>
                <w:sz w:val="20"/>
                <w:szCs w:val="20"/>
              </w:rPr>
            </w:pPr>
            <w:r w:rsidRPr="31C22A3A">
              <w:rPr>
                <w:rFonts w:ascii="Arial" w:hAnsi="Arial" w:cs="Arial"/>
                <w:sz w:val="20"/>
                <w:szCs w:val="20"/>
              </w:rPr>
              <w:t xml:space="preserve">4.3.1.2 </w:t>
            </w:r>
            <w:r w:rsidR="553028EE" w:rsidRPr="31C22A3A">
              <w:rPr>
                <w:rFonts w:ascii="Arial" w:hAnsi="Arial" w:cs="Arial"/>
                <w:sz w:val="20"/>
                <w:szCs w:val="20"/>
              </w:rPr>
              <w:t xml:space="preserve">The </w:t>
            </w:r>
            <w:r w:rsidR="553028EE" w:rsidRPr="31C22A3A">
              <w:rPr>
                <w:rFonts w:ascii="Arial" w:hAnsi="Arial" w:cs="Arial"/>
                <w:strike/>
                <w:color w:val="FF0000"/>
                <w:sz w:val="20"/>
                <w:szCs w:val="20"/>
              </w:rPr>
              <w:t>TNP, SO and the</w:t>
            </w:r>
            <w:r w:rsidR="553028EE" w:rsidRPr="31C22A3A">
              <w:rPr>
                <w:rFonts w:ascii="Arial" w:hAnsi="Arial" w:cs="Arial"/>
                <w:sz w:val="20"/>
                <w:szCs w:val="20"/>
              </w:rPr>
              <w:t xml:space="preserve"> concerned DU shall witness the Test and Commissioning activities of Embedded Generators to be undertaken by a third-party testing entity. </w:t>
            </w:r>
            <w:bookmarkStart w:id="1" w:name="_Hlk140752361"/>
            <w:r w:rsidR="553028EE" w:rsidRPr="003C66AA">
              <w:rPr>
                <w:rFonts w:ascii="Arial" w:hAnsi="Arial" w:cs="Arial"/>
                <w:b/>
                <w:bCs/>
                <w:sz w:val="20"/>
                <w:szCs w:val="20"/>
                <w:u w:val="single"/>
              </w:rPr>
              <w:t>At the option of the E</w:t>
            </w:r>
            <w:r w:rsidR="13D50E20" w:rsidRPr="003C66AA">
              <w:rPr>
                <w:rFonts w:ascii="Arial" w:hAnsi="Arial" w:cs="Arial"/>
                <w:b/>
                <w:bCs/>
                <w:sz w:val="20"/>
                <w:szCs w:val="20"/>
                <w:u w:val="single"/>
              </w:rPr>
              <w:t>Gs, t</w:t>
            </w:r>
            <w:r w:rsidR="553028EE" w:rsidRPr="003C66AA">
              <w:rPr>
                <w:rFonts w:ascii="Arial" w:hAnsi="Arial" w:cs="Arial"/>
                <w:b/>
                <w:bCs/>
                <w:sz w:val="20"/>
                <w:szCs w:val="20"/>
                <w:u w:val="single"/>
              </w:rPr>
              <w:t>he DU or TNP may also conduct the Test and Commissioning activities</w:t>
            </w:r>
            <w:r w:rsidR="1E3216FF" w:rsidRPr="003C66AA">
              <w:rPr>
                <w:rFonts w:ascii="Arial" w:hAnsi="Arial" w:cs="Arial"/>
                <w:b/>
                <w:bCs/>
                <w:sz w:val="20"/>
                <w:szCs w:val="20"/>
                <w:u w:val="single"/>
              </w:rPr>
              <w:t>.</w:t>
            </w:r>
            <w:bookmarkEnd w:id="1"/>
            <w:r w:rsidR="553028EE" w:rsidRPr="31C22A3A">
              <w:rPr>
                <w:rFonts w:ascii="Arial" w:hAnsi="Arial" w:cs="Arial"/>
                <w:sz w:val="20"/>
                <w:szCs w:val="20"/>
              </w:rPr>
              <w:t xml:space="preserve"> </w:t>
            </w:r>
            <w:r w:rsidR="00E06EDC" w:rsidRPr="00E06EDC">
              <w:rPr>
                <w:rFonts w:ascii="Arial" w:hAnsi="Arial" w:cs="Arial"/>
                <w:strike/>
                <w:color w:val="FF0000"/>
                <w:sz w:val="20"/>
                <w:szCs w:val="20"/>
              </w:rPr>
              <w:t xml:space="preserve">The DU or TNP may also conduct the Test and Commissioning activities </w:t>
            </w:r>
            <w:proofErr w:type="gramStart"/>
            <w:r w:rsidR="00E06EDC" w:rsidRPr="00E06EDC">
              <w:rPr>
                <w:rFonts w:ascii="Arial" w:hAnsi="Arial" w:cs="Arial"/>
                <w:strike/>
                <w:color w:val="FF0000"/>
                <w:sz w:val="20"/>
                <w:szCs w:val="20"/>
              </w:rPr>
              <w:t>in the event that</w:t>
            </w:r>
            <w:proofErr w:type="gramEnd"/>
            <w:r w:rsidR="00E06EDC" w:rsidRPr="00E06EDC">
              <w:rPr>
                <w:rFonts w:ascii="Arial" w:hAnsi="Arial" w:cs="Arial"/>
                <w:strike/>
                <w:color w:val="FF0000"/>
                <w:sz w:val="20"/>
                <w:szCs w:val="20"/>
              </w:rPr>
              <w:t xml:space="preserve"> a third-party testing entity is not available.</w:t>
            </w:r>
          </w:p>
          <w:p w14:paraId="0D3ADC4D" w14:textId="77777777" w:rsidR="00C21F76" w:rsidRPr="00DC0AFC" w:rsidRDefault="00C21F76" w:rsidP="00C21F76">
            <w:pPr>
              <w:jc w:val="both"/>
              <w:rPr>
                <w:rFonts w:ascii="Arial" w:hAnsi="Arial" w:cs="Arial"/>
                <w:sz w:val="20"/>
                <w:szCs w:val="20"/>
              </w:rPr>
            </w:pPr>
          </w:p>
          <w:p w14:paraId="3E41B5A7" w14:textId="262234B1" w:rsidR="006E76C8" w:rsidRPr="00DC0AFC" w:rsidRDefault="00C21F76" w:rsidP="00C21F76">
            <w:pPr>
              <w:jc w:val="both"/>
              <w:rPr>
                <w:rFonts w:ascii="Arial" w:hAnsi="Arial" w:cs="Arial"/>
                <w:sz w:val="20"/>
                <w:szCs w:val="20"/>
              </w:rPr>
            </w:pPr>
            <w:r w:rsidRPr="00DC0AFC">
              <w:rPr>
                <w:rFonts w:ascii="Arial" w:hAnsi="Arial" w:cs="Arial"/>
                <w:sz w:val="20"/>
                <w:szCs w:val="20"/>
              </w:rPr>
              <w:t xml:space="preserve">xxx </w:t>
            </w:r>
            <w:proofErr w:type="spellStart"/>
            <w:r w:rsidRPr="00DC0AFC">
              <w:rPr>
                <w:rFonts w:ascii="Arial" w:hAnsi="Arial" w:cs="Arial"/>
                <w:sz w:val="20"/>
                <w:szCs w:val="20"/>
              </w:rPr>
              <w:t>xxx</w:t>
            </w:r>
            <w:proofErr w:type="spellEnd"/>
            <w:r w:rsidRPr="00DC0AFC">
              <w:rPr>
                <w:rFonts w:ascii="Arial" w:hAnsi="Arial" w:cs="Arial"/>
                <w:sz w:val="20"/>
                <w:szCs w:val="20"/>
              </w:rPr>
              <w:t xml:space="preserve"> </w:t>
            </w:r>
            <w:proofErr w:type="spellStart"/>
            <w:r w:rsidRPr="00DC0AFC">
              <w:rPr>
                <w:rFonts w:ascii="Arial" w:hAnsi="Arial" w:cs="Arial"/>
                <w:sz w:val="20"/>
                <w:szCs w:val="20"/>
              </w:rPr>
              <w:t>xxx</w:t>
            </w:r>
            <w:proofErr w:type="spellEnd"/>
            <w:r w:rsidRPr="00DC0AFC">
              <w:rPr>
                <w:rFonts w:ascii="Arial" w:hAnsi="Arial" w:cs="Arial"/>
                <w:sz w:val="20"/>
                <w:szCs w:val="20"/>
              </w:rPr>
              <w:t>”</w:t>
            </w:r>
          </w:p>
        </w:tc>
        <w:tc>
          <w:tcPr>
            <w:tcW w:w="936" w:type="pct"/>
          </w:tcPr>
          <w:p w14:paraId="087538FC" w14:textId="77777777" w:rsidR="006E76C8" w:rsidRDefault="006E76C8" w:rsidP="006E76C8">
            <w:pPr>
              <w:jc w:val="both"/>
              <w:rPr>
                <w:rFonts w:ascii="Arial" w:hAnsi="Arial" w:cs="Arial"/>
                <w:sz w:val="20"/>
                <w:szCs w:val="20"/>
              </w:rPr>
            </w:pPr>
          </w:p>
          <w:p w14:paraId="6F121A7F" w14:textId="77777777" w:rsidR="00FE0263" w:rsidRDefault="00FE0263" w:rsidP="006E76C8">
            <w:pPr>
              <w:jc w:val="both"/>
              <w:rPr>
                <w:rFonts w:ascii="Arial" w:hAnsi="Arial" w:cs="Arial"/>
                <w:sz w:val="20"/>
                <w:szCs w:val="20"/>
              </w:rPr>
            </w:pPr>
          </w:p>
          <w:p w14:paraId="2F410E2F" w14:textId="77777777" w:rsidR="00FE0263" w:rsidRDefault="00FE0263" w:rsidP="006E76C8">
            <w:pPr>
              <w:jc w:val="both"/>
              <w:rPr>
                <w:rFonts w:ascii="Arial" w:hAnsi="Arial" w:cs="Arial"/>
                <w:sz w:val="20"/>
                <w:szCs w:val="20"/>
              </w:rPr>
            </w:pPr>
          </w:p>
          <w:p w14:paraId="772D65E1" w14:textId="77777777" w:rsidR="00FE0263" w:rsidRDefault="00FE0263" w:rsidP="006E76C8">
            <w:pPr>
              <w:jc w:val="both"/>
              <w:rPr>
                <w:rFonts w:ascii="Arial" w:hAnsi="Arial" w:cs="Arial"/>
                <w:sz w:val="20"/>
                <w:szCs w:val="20"/>
              </w:rPr>
            </w:pPr>
          </w:p>
          <w:p w14:paraId="79E29404" w14:textId="0E04194C" w:rsidR="00FE0263" w:rsidRPr="00DC0AFC" w:rsidRDefault="33540546" w:rsidP="31C22A3A">
            <w:pPr>
              <w:jc w:val="both"/>
              <w:rPr>
                <w:rFonts w:ascii="Arial" w:hAnsi="Arial" w:cs="Arial"/>
                <w:sz w:val="20"/>
                <w:szCs w:val="20"/>
              </w:rPr>
            </w:pPr>
            <w:r w:rsidRPr="31C22A3A">
              <w:rPr>
                <w:rFonts w:ascii="Arial" w:hAnsi="Arial" w:cs="Arial"/>
                <w:sz w:val="20"/>
                <w:szCs w:val="20"/>
              </w:rPr>
              <w:t>SO must oversee the demand side.</w:t>
            </w:r>
          </w:p>
        </w:tc>
      </w:tr>
      <w:tr w:rsidR="00FE0263" w:rsidRPr="00DC0AFC" w14:paraId="74BE1259" w14:textId="77777777" w:rsidTr="31C22A3A">
        <w:trPr>
          <w:trHeight w:val="300"/>
        </w:trPr>
        <w:tc>
          <w:tcPr>
            <w:tcW w:w="631" w:type="pct"/>
          </w:tcPr>
          <w:p w14:paraId="26B9795C" w14:textId="3B38B142" w:rsidR="00FE0263" w:rsidRPr="00DC0AFC" w:rsidRDefault="00FE0263" w:rsidP="00FE0263">
            <w:pPr>
              <w:jc w:val="both"/>
              <w:rPr>
                <w:rFonts w:ascii="Arial" w:hAnsi="Arial" w:cs="Arial"/>
                <w:sz w:val="20"/>
                <w:szCs w:val="20"/>
              </w:rPr>
            </w:pPr>
            <w:r w:rsidRPr="00DC0AFC">
              <w:rPr>
                <w:rFonts w:ascii="Arial" w:hAnsi="Arial" w:cs="Arial"/>
                <w:sz w:val="20"/>
                <w:szCs w:val="20"/>
              </w:rPr>
              <w:t xml:space="preserve">Procedures </w:t>
            </w:r>
            <w:r>
              <w:rPr>
                <w:rFonts w:ascii="Arial" w:hAnsi="Arial" w:cs="Arial"/>
                <w:sz w:val="20"/>
                <w:szCs w:val="20"/>
              </w:rPr>
              <w:t>After</w:t>
            </w:r>
            <w:r w:rsidRPr="00DC0AFC">
              <w:rPr>
                <w:rFonts w:ascii="Arial" w:hAnsi="Arial" w:cs="Arial"/>
                <w:sz w:val="20"/>
                <w:szCs w:val="20"/>
              </w:rPr>
              <w:t xml:space="preserve"> Test and Commissioning</w:t>
            </w:r>
          </w:p>
        </w:tc>
        <w:tc>
          <w:tcPr>
            <w:tcW w:w="363" w:type="pct"/>
          </w:tcPr>
          <w:p w14:paraId="34718ADA" w14:textId="39D55ACF" w:rsidR="00FE0263" w:rsidRPr="00DC0AFC" w:rsidRDefault="00FE0263" w:rsidP="00FE0263">
            <w:pPr>
              <w:jc w:val="center"/>
              <w:rPr>
                <w:rFonts w:ascii="Arial" w:hAnsi="Arial" w:cs="Arial"/>
                <w:sz w:val="20"/>
                <w:szCs w:val="20"/>
              </w:rPr>
            </w:pPr>
            <w:r w:rsidRPr="00DC0AFC">
              <w:rPr>
                <w:rFonts w:ascii="Arial" w:hAnsi="Arial" w:cs="Arial"/>
                <w:sz w:val="20"/>
                <w:szCs w:val="20"/>
              </w:rPr>
              <w:t>4.</w:t>
            </w:r>
            <w:r>
              <w:rPr>
                <w:rFonts w:ascii="Arial" w:hAnsi="Arial" w:cs="Arial"/>
                <w:sz w:val="20"/>
                <w:szCs w:val="20"/>
              </w:rPr>
              <w:t>4</w:t>
            </w:r>
          </w:p>
        </w:tc>
        <w:tc>
          <w:tcPr>
            <w:tcW w:w="1490" w:type="pct"/>
          </w:tcPr>
          <w:p w14:paraId="64D8CB00" w14:textId="27FB2C8D" w:rsidR="00FE0263" w:rsidRPr="00FE0263" w:rsidRDefault="00FE0263" w:rsidP="00FE0263">
            <w:pPr>
              <w:jc w:val="both"/>
              <w:rPr>
                <w:rFonts w:ascii="Arial" w:hAnsi="Arial" w:cs="Arial"/>
                <w:sz w:val="20"/>
                <w:szCs w:val="20"/>
              </w:rPr>
            </w:pPr>
            <w:r>
              <w:rPr>
                <w:rFonts w:ascii="Arial" w:hAnsi="Arial" w:cs="Arial"/>
                <w:sz w:val="20"/>
                <w:szCs w:val="20"/>
              </w:rPr>
              <w:t xml:space="preserve">4.4 </w:t>
            </w:r>
            <w:r w:rsidRPr="00FE0263">
              <w:rPr>
                <w:rFonts w:ascii="Arial" w:hAnsi="Arial" w:cs="Arial"/>
                <w:sz w:val="20"/>
                <w:szCs w:val="20"/>
              </w:rPr>
              <w:t xml:space="preserve">Procedures After Test and Commissioning </w:t>
            </w:r>
          </w:p>
          <w:p w14:paraId="6DB20C46" w14:textId="56D1982B" w:rsidR="00FE0263" w:rsidRPr="00FE0263" w:rsidRDefault="00FE0263" w:rsidP="00FE0263">
            <w:pPr>
              <w:jc w:val="both"/>
              <w:rPr>
                <w:rFonts w:ascii="Arial" w:hAnsi="Arial" w:cs="Arial"/>
                <w:sz w:val="20"/>
                <w:szCs w:val="20"/>
              </w:rPr>
            </w:pPr>
          </w:p>
          <w:p w14:paraId="628DD5A9" w14:textId="0358939C" w:rsidR="00FE0263" w:rsidRPr="00FE0263" w:rsidRDefault="00A948B5" w:rsidP="00FE0263">
            <w:pPr>
              <w:jc w:val="both"/>
              <w:rPr>
                <w:rFonts w:ascii="Arial" w:hAnsi="Arial" w:cs="Arial"/>
                <w:sz w:val="20"/>
                <w:szCs w:val="20"/>
              </w:rPr>
            </w:pPr>
            <w:r>
              <w:rPr>
                <w:rFonts w:ascii="Arial" w:hAnsi="Arial" w:cs="Arial"/>
                <w:sz w:val="20"/>
                <w:szCs w:val="20"/>
              </w:rPr>
              <w:t xml:space="preserve">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14:paraId="3B3F44F3" w14:textId="77777777" w:rsidR="00FE0263" w:rsidRPr="00FE0263" w:rsidRDefault="00FE0263" w:rsidP="00FE0263">
            <w:pPr>
              <w:jc w:val="both"/>
              <w:rPr>
                <w:rFonts w:ascii="Arial" w:hAnsi="Arial" w:cs="Arial"/>
                <w:sz w:val="20"/>
                <w:szCs w:val="20"/>
              </w:rPr>
            </w:pPr>
          </w:p>
          <w:p w14:paraId="0544F38D" w14:textId="16ECD08B" w:rsidR="00FE0263" w:rsidRPr="00FE0263" w:rsidRDefault="00FE0263" w:rsidP="00FE0263">
            <w:pPr>
              <w:jc w:val="both"/>
              <w:rPr>
                <w:rFonts w:ascii="Arial" w:hAnsi="Arial" w:cs="Arial"/>
                <w:sz w:val="20"/>
                <w:szCs w:val="20"/>
              </w:rPr>
            </w:pPr>
            <w:r>
              <w:rPr>
                <w:rFonts w:ascii="Arial" w:hAnsi="Arial" w:cs="Arial"/>
                <w:sz w:val="20"/>
                <w:szCs w:val="20"/>
              </w:rPr>
              <w:t xml:space="preserve">4.4.2 </w:t>
            </w:r>
            <w:r w:rsidRPr="00FE0263">
              <w:rPr>
                <w:rFonts w:ascii="Arial" w:hAnsi="Arial" w:cs="Arial"/>
                <w:sz w:val="20"/>
                <w:szCs w:val="20"/>
              </w:rPr>
              <w:t xml:space="preserve">Within fourteen (14) calendar days after the complete evaluation of the results and validation that the Generation Facility is ready to deliver energy to the Grid or distribution network, and has completed submission of the pertinent requirements of the TNP or the DU, the following shall issue the Final CATC to the Generation Company which signifies successful conduct of Test and Commissioning and that the Generation Facility can operate in accordance with applicable parameters of the PGC or PDC: </w:t>
            </w:r>
          </w:p>
          <w:p w14:paraId="41401076" w14:textId="77777777" w:rsidR="00FE0263" w:rsidRPr="00FE0263" w:rsidRDefault="00FE0263" w:rsidP="00FE0263">
            <w:pPr>
              <w:jc w:val="both"/>
              <w:rPr>
                <w:rFonts w:ascii="Arial" w:hAnsi="Arial" w:cs="Arial"/>
                <w:sz w:val="20"/>
                <w:szCs w:val="20"/>
              </w:rPr>
            </w:pPr>
          </w:p>
          <w:p w14:paraId="7BE39FAE" w14:textId="72A7EB7A" w:rsidR="00FE0263" w:rsidRPr="00FE0263" w:rsidRDefault="00FE0263" w:rsidP="00FE0263">
            <w:pPr>
              <w:jc w:val="both"/>
              <w:rPr>
                <w:rFonts w:ascii="Arial" w:hAnsi="Arial" w:cs="Arial"/>
                <w:sz w:val="20"/>
                <w:szCs w:val="20"/>
              </w:rPr>
            </w:pPr>
            <w:r>
              <w:rPr>
                <w:rFonts w:ascii="Arial" w:hAnsi="Arial" w:cs="Arial"/>
                <w:sz w:val="20"/>
                <w:szCs w:val="20"/>
              </w:rPr>
              <w:t xml:space="preserve">4.4.2.1 </w:t>
            </w:r>
            <w:r w:rsidRPr="00FE0263">
              <w:rPr>
                <w:rFonts w:ascii="Arial" w:hAnsi="Arial" w:cs="Arial"/>
                <w:sz w:val="20"/>
                <w:szCs w:val="20"/>
              </w:rPr>
              <w:t xml:space="preserve">the TNP for a grid-connected Generation </w:t>
            </w:r>
            <w:proofErr w:type="gramStart"/>
            <w:r w:rsidRPr="00FE0263">
              <w:rPr>
                <w:rFonts w:ascii="Arial" w:hAnsi="Arial" w:cs="Arial"/>
                <w:sz w:val="20"/>
                <w:szCs w:val="20"/>
              </w:rPr>
              <w:t>Facility;</w:t>
            </w:r>
            <w:proofErr w:type="gramEnd"/>
            <w:r w:rsidRPr="00FE0263">
              <w:rPr>
                <w:rFonts w:ascii="Arial" w:hAnsi="Arial" w:cs="Arial"/>
                <w:sz w:val="20"/>
                <w:szCs w:val="20"/>
              </w:rPr>
              <w:t xml:space="preserve"> </w:t>
            </w:r>
          </w:p>
          <w:p w14:paraId="34D19992" w14:textId="4AF4D126" w:rsidR="00FE0263" w:rsidRPr="00FE0263" w:rsidRDefault="00FE0263" w:rsidP="00FE0263">
            <w:pPr>
              <w:jc w:val="both"/>
              <w:rPr>
                <w:rFonts w:ascii="Arial" w:hAnsi="Arial" w:cs="Arial"/>
                <w:sz w:val="20"/>
                <w:szCs w:val="20"/>
              </w:rPr>
            </w:pPr>
            <w:r>
              <w:rPr>
                <w:rFonts w:ascii="Arial" w:hAnsi="Arial" w:cs="Arial"/>
                <w:sz w:val="20"/>
                <w:szCs w:val="20"/>
              </w:rPr>
              <w:t xml:space="preserve">4.4.2.2 </w:t>
            </w:r>
            <w:r w:rsidRPr="00FE0263">
              <w:rPr>
                <w:rFonts w:ascii="Arial" w:hAnsi="Arial" w:cs="Arial"/>
                <w:sz w:val="20"/>
                <w:szCs w:val="20"/>
              </w:rPr>
              <w:t xml:space="preserve">the DU for an Embedded Generator. </w:t>
            </w:r>
          </w:p>
          <w:p w14:paraId="67FD4935" w14:textId="77777777" w:rsidR="00FE0263" w:rsidRDefault="00FE0263" w:rsidP="00FE0263">
            <w:pPr>
              <w:jc w:val="both"/>
              <w:rPr>
                <w:rFonts w:ascii="Arial" w:hAnsi="Arial" w:cs="Arial"/>
                <w:sz w:val="20"/>
                <w:szCs w:val="20"/>
              </w:rPr>
            </w:pPr>
          </w:p>
          <w:p w14:paraId="3A25B6D0" w14:textId="4034DAAC" w:rsidR="00FE0263" w:rsidRPr="00FE0263" w:rsidRDefault="00FE0263" w:rsidP="00FE0263">
            <w:pPr>
              <w:jc w:val="both"/>
              <w:rPr>
                <w:rFonts w:ascii="Arial" w:hAnsi="Arial" w:cs="Arial"/>
                <w:sz w:val="20"/>
                <w:szCs w:val="20"/>
              </w:rPr>
            </w:pPr>
            <w:r>
              <w:rPr>
                <w:rFonts w:ascii="Arial" w:hAnsi="Arial" w:cs="Arial"/>
                <w:sz w:val="20"/>
                <w:szCs w:val="20"/>
              </w:rPr>
              <w:t xml:space="preserve">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14:paraId="2948762C" w14:textId="77777777" w:rsidR="00FE0263" w:rsidRDefault="00FE0263" w:rsidP="00FE0263">
            <w:pPr>
              <w:jc w:val="both"/>
              <w:rPr>
                <w:rFonts w:ascii="Arial" w:hAnsi="Arial" w:cs="Arial"/>
                <w:sz w:val="20"/>
                <w:szCs w:val="20"/>
              </w:rPr>
            </w:pPr>
          </w:p>
          <w:p w14:paraId="02E88B2A" w14:textId="77777777" w:rsidR="00934328" w:rsidRPr="00DC0AFC" w:rsidRDefault="00934328" w:rsidP="00FE0263">
            <w:pPr>
              <w:jc w:val="both"/>
              <w:rPr>
                <w:rFonts w:ascii="Arial" w:hAnsi="Arial" w:cs="Arial"/>
                <w:sz w:val="20"/>
                <w:szCs w:val="20"/>
              </w:rPr>
            </w:pPr>
          </w:p>
        </w:tc>
        <w:tc>
          <w:tcPr>
            <w:tcW w:w="1580" w:type="pct"/>
          </w:tcPr>
          <w:p w14:paraId="567DFC4D" w14:textId="77777777" w:rsidR="00FE0263" w:rsidRPr="00FE0263" w:rsidRDefault="00FE0263" w:rsidP="00FE0263">
            <w:pPr>
              <w:jc w:val="both"/>
              <w:rPr>
                <w:rFonts w:ascii="Arial" w:hAnsi="Arial" w:cs="Arial"/>
                <w:sz w:val="20"/>
                <w:szCs w:val="20"/>
              </w:rPr>
            </w:pPr>
            <w:r w:rsidRPr="00FE0263">
              <w:rPr>
                <w:rFonts w:ascii="Arial" w:hAnsi="Arial" w:cs="Arial"/>
                <w:sz w:val="20"/>
                <w:szCs w:val="20"/>
              </w:rPr>
              <w:t>4.4 Procedures After Test and Commissioning</w:t>
            </w:r>
          </w:p>
          <w:p w14:paraId="3A44FB20" w14:textId="77777777" w:rsidR="00FE0263" w:rsidRPr="00FE0263" w:rsidRDefault="00FE0263" w:rsidP="00FE0263">
            <w:pPr>
              <w:jc w:val="both"/>
              <w:rPr>
                <w:rFonts w:ascii="Arial" w:hAnsi="Arial" w:cs="Arial"/>
                <w:sz w:val="20"/>
                <w:szCs w:val="20"/>
              </w:rPr>
            </w:pPr>
          </w:p>
          <w:p w14:paraId="2F53B948" w14:textId="10B40D45" w:rsidR="00FE0263" w:rsidRPr="00FE0263" w:rsidRDefault="00A948B5" w:rsidP="00FE0263">
            <w:pPr>
              <w:jc w:val="both"/>
              <w:rPr>
                <w:rFonts w:ascii="Arial" w:hAnsi="Arial" w:cs="Arial"/>
                <w:sz w:val="20"/>
                <w:szCs w:val="20"/>
              </w:rPr>
            </w:pPr>
            <w:r>
              <w:rPr>
                <w:rFonts w:ascii="Arial" w:hAnsi="Arial" w:cs="Arial"/>
                <w:sz w:val="20"/>
                <w:szCs w:val="20"/>
              </w:rPr>
              <w:t xml:space="preserve">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14:paraId="5327432D" w14:textId="37F955DC" w:rsidR="00FE0263" w:rsidRPr="00FE0263" w:rsidRDefault="00FE0263" w:rsidP="31C22A3A">
            <w:pPr>
              <w:jc w:val="both"/>
              <w:rPr>
                <w:rFonts w:ascii="Arial" w:hAnsi="Arial" w:cs="Arial"/>
                <w:sz w:val="20"/>
                <w:szCs w:val="20"/>
              </w:rPr>
            </w:pPr>
          </w:p>
          <w:p w14:paraId="2449055E" w14:textId="4933A35B" w:rsidR="00FE0263" w:rsidRPr="00FE0263" w:rsidRDefault="00FE0263" w:rsidP="00FE0263">
            <w:pPr>
              <w:jc w:val="both"/>
              <w:rPr>
                <w:rFonts w:ascii="Arial" w:hAnsi="Arial" w:cs="Arial"/>
                <w:sz w:val="20"/>
                <w:szCs w:val="20"/>
              </w:rPr>
            </w:pPr>
            <w:bookmarkStart w:id="2" w:name="_Hlk140752726"/>
            <w:r w:rsidRPr="31C22A3A">
              <w:rPr>
                <w:rFonts w:ascii="Arial" w:hAnsi="Arial" w:cs="Arial"/>
                <w:sz w:val="20"/>
                <w:szCs w:val="20"/>
              </w:rPr>
              <w:t>4.4.2 Within fourteen (14) calendar days after the complete evaluation of the results and validation that the Generation Facility is ready to deliver energy to the Grid or distribution network, and has completed submission of the pertinent requirements of the TNP</w:t>
            </w:r>
            <w:r w:rsidR="78036A48" w:rsidRPr="31C22A3A">
              <w:rPr>
                <w:rFonts w:ascii="Arial" w:hAnsi="Arial" w:cs="Arial"/>
                <w:sz w:val="20"/>
                <w:szCs w:val="20"/>
              </w:rPr>
              <w:t xml:space="preserve"> </w:t>
            </w:r>
            <w:r w:rsidR="78036A48" w:rsidRPr="00934328">
              <w:rPr>
                <w:rFonts w:ascii="Arial" w:hAnsi="Arial" w:cs="Arial"/>
                <w:b/>
                <w:bCs/>
                <w:sz w:val="20"/>
                <w:szCs w:val="20"/>
                <w:u w:val="single"/>
              </w:rPr>
              <w:t>in accordance with the PGC</w:t>
            </w:r>
            <w:r w:rsidR="5D506A4F" w:rsidRPr="31C22A3A">
              <w:rPr>
                <w:rFonts w:ascii="Arial" w:hAnsi="Arial" w:cs="Arial"/>
                <w:b/>
                <w:bCs/>
                <w:sz w:val="20"/>
                <w:szCs w:val="20"/>
              </w:rPr>
              <w:t>,</w:t>
            </w:r>
            <w:r w:rsidRPr="31C22A3A">
              <w:rPr>
                <w:rFonts w:ascii="Arial" w:hAnsi="Arial" w:cs="Arial"/>
                <w:b/>
                <w:bCs/>
                <w:sz w:val="20"/>
                <w:szCs w:val="20"/>
              </w:rPr>
              <w:t xml:space="preserve"> </w:t>
            </w:r>
            <w:r w:rsidRPr="31C22A3A">
              <w:rPr>
                <w:rFonts w:ascii="Arial" w:hAnsi="Arial" w:cs="Arial"/>
                <w:sz w:val="20"/>
                <w:szCs w:val="20"/>
              </w:rPr>
              <w:t>or the DU</w:t>
            </w:r>
            <w:r w:rsidR="59B8DFAE" w:rsidRPr="31C22A3A">
              <w:rPr>
                <w:rFonts w:ascii="Arial" w:hAnsi="Arial" w:cs="Arial"/>
                <w:b/>
                <w:bCs/>
                <w:sz w:val="20"/>
                <w:szCs w:val="20"/>
              </w:rPr>
              <w:t xml:space="preserve"> </w:t>
            </w:r>
            <w:r w:rsidR="59B8DFAE" w:rsidRPr="00934328">
              <w:rPr>
                <w:rFonts w:ascii="Arial" w:hAnsi="Arial" w:cs="Arial"/>
                <w:b/>
                <w:bCs/>
                <w:sz w:val="20"/>
                <w:szCs w:val="20"/>
                <w:u w:val="single"/>
              </w:rPr>
              <w:t>in acc</w:t>
            </w:r>
            <w:r w:rsidR="5D2E420E" w:rsidRPr="00934328">
              <w:rPr>
                <w:rFonts w:ascii="Arial" w:hAnsi="Arial" w:cs="Arial"/>
                <w:b/>
                <w:bCs/>
                <w:sz w:val="20"/>
                <w:szCs w:val="20"/>
                <w:u w:val="single"/>
              </w:rPr>
              <w:t>ordance with the PDC</w:t>
            </w:r>
            <w:r w:rsidRPr="31C22A3A">
              <w:rPr>
                <w:rFonts w:ascii="Arial" w:hAnsi="Arial" w:cs="Arial"/>
                <w:sz w:val="20"/>
                <w:szCs w:val="20"/>
              </w:rPr>
              <w:t xml:space="preserve">, the following shall issue the </w:t>
            </w:r>
            <w:r w:rsidRPr="31C22A3A">
              <w:rPr>
                <w:rFonts w:ascii="Arial" w:hAnsi="Arial" w:cs="Arial"/>
                <w:b/>
                <w:bCs/>
                <w:sz w:val="20"/>
                <w:szCs w:val="20"/>
                <w:u w:val="single"/>
              </w:rPr>
              <w:t>Final Certificate of A</w:t>
            </w:r>
            <w:r w:rsidR="00E23621">
              <w:rPr>
                <w:rFonts w:ascii="Arial" w:hAnsi="Arial" w:cs="Arial"/>
                <w:b/>
                <w:bCs/>
                <w:sz w:val="20"/>
                <w:szCs w:val="20"/>
                <w:u w:val="single"/>
              </w:rPr>
              <w:t>pproval</w:t>
            </w:r>
            <w:r w:rsidRPr="31C22A3A">
              <w:rPr>
                <w:rFonts w:ascii="Arial" w:hAnsi="Arial" w:cs="Arial"/>
                <w:b/>
                <w:bCs/>
                <w:sz w:val="20"/>
                <w:szCs w:val="20"/>
                <w:u w:val="single"/>
              </w:rPr>
              <w:t xml:space="preserve"> to Connect (FCATC)</w:t>
            </w:r>
            <w:r w:rsidRPr="31C22A3A">
              <w:rPr>
                <w:rFonts w:ascii="Arial" w:hAnsi="Arial" w:cs="Arial"/>
                <w:sz w:val="20"/>
                <w:szCs w:val="20"/>
              </w:rPr>
              <w:t xml:space="preserve"> to the Generation Company which signifies successful conduct of Test and Commissioning and that the Generation Facility can operate:</w:t>
            </w:r>
            <w:r w:rsidR="00934328">
              <w:rPr>
                <w:rFonts w:ascii="Arial" w:hAnsi="Arial" w:cs="Arial"/>
                <w:sz w:val="20"/>
                <w:szCs w:val="20"/>
              </w:rPr>
              <w:t xml:space="preserve"> </w:t>
            </w:r>
            <w:r w:rsidR="00934328" w:rsidRPr="00934328">
              <w:rPr>
                <w:rFonts w:ascii="Arial" w:hAnsi="Arial" w:cs="Arial"/>
                <w:strike/>
                <w:color w:val="FF0000"/>
                <w:sz w:val="20"/>
                <w:szCs w:val="20"/>
              </w:rPr>
              <w:t>in accordance with applicable parameters of the PGC or PDC:</w:t>
            </w:r>
          </w:p>
          <w:p w14:paraId="205FAFD5" w14:textId="77777777" w:rsidR="00FE0263" w:rsidRPr="00FE0263" w:rsidRDefault="00FE0263" w:rsidP="00FE0263">
            <w:pPr>
              <w:jc w:val="both"/>
              <w:rPr>
                <w:rFonts w:ascii="Arial" w:hAnsi="Arial" w:cs="Arial"/>
                <w:sz w:val="20"/>
                <w:szCs w:val="20"/>
              </w:rPr>
            </w:pPr>
          </w:p>
          <w:p w14:paraId="11E93933" w14:textId="28EC5DB8" w:rsidR="00FE0263" w:rsidRPr="00FE0263" w:rsidRDefault="00FE0263" w:rsidP="00FE0263">
            <w:pPr>
              <w:jc w:val="both"/>
              <w:rPr>
                <w:rFonts w:ascii="Arial" w:hAnsi="Arial" w:cs="Arial"/>
                <w:sz w:val="20"/>
                <w:szCs w:val="20"/>
              </w:rPr>
            </w:pPr>
            <w:r w:rsidRPr="00FE0263">
              <w:rPr>
                <w:rFonts w:ascii="Arial" w:hAnsi="Arial" w:cs="Arial"/>
                <w:sz w:val="20"/>
                <w:szCs w:val="20"/>
              </w:rPr>
              <w:t>4.4.2.1</w:t>
            </w:r>
            <w:r>
              <w:rPr>
                <w:rFonts w:ascii="Arial" w:hAnsi="Arial" w:cs="Arial"/>
                <w:sz w:val="20"/>
                <w:szCs w:val="20"/>
              </w:rPr>
              <w:t xml:space="preserve"> </w:t>
            </w:r>
            <w:r w:rsidRPr="00FE0263">
              <w:rPr>
                <w:rFonts w:ascii="Arial" w:hAnsi="Arial" w:cs="Arial"/>
                <w:sz w:val="20"/>
                <w:szCs w:val="20"/>
              </w:rPr>
              <w:t>the TNP for a grid-connected Generation Facility;</w:t>
            </w:r>
            <w:r w:rsidR="00934328">
              <w:rPr>
                <w:rFonts w:ascii="Arial" w:hAnsi="Arial" w:cs="Arial"/>
                <w:sz w:val="20"/>
                <w:szCs w:val="20"/>
              </w:rPr>
              <w:t xml:space="preserve"> </w:t>
            </w:r>
            <w:r w:rsidR="00934328" w:rsidRPr="00934328">
              <w:rPr>
                <w:rFonts w:ascii="Arial" w:hAnsi="Arial" w:cs="Arial"/>
                <w:b/>
                <w:bCs/>
                <w:sz w:val="20"/>
                <w:szCs w:val="20"/>
                <w:u w:val="single"/>
              </w:rPr>
              <w:t>and</w:t>
            </w:r>
          </w:p>
          <w:p w14:paraId="3B44238F" w14:textId="776AC83B" w:rsidR="00FE0263" w:rsidRPr="00FE0263" w:rsidRDefault="00FE0263" w:rsidP="00FE0263">
            <w:pPr>
              <w:jc w:val="both"/>
              <w:rPr>
                <w:rFonts w:ascii="Arial" w:hAnsi="Arial" w:cs="Arial"/>
                <w:sz w:val="20"/>
                <w:szCs w:val="20"/>
              </w:rPr>
            </w:pPr>
            <w:r w:rsidRPr="00FE0263">
              <w:rPr>
                <w:rFonts w:ascii="Arial" w:hAnsi="Arial" w:cs="Arial"/>
                <w:sz w:val="20"/>
                <w:szCs w:val="20"/>
              </w:rPr>
              <w:t>4.4.2.2</w:t>
            </w:r>
            <w:r>
              <w:rPr>
                <w:rFonts w:ascii="Arial" w:hAnsi="Arial" w:cs="Arial"/>
                <w:sz w:val="20"/>
                <w:szCs w:val="20"/>
              </w:rPr>
              <w:t xml:space="preserve"> </w:t>
            </w:r>
            <w:r w:rsidRPr="00FE0263">
              <w:rPr>
                <w:rFonts w:ascii="Arial" w:hAnsi="Arial" w:cs="Arial"/>
                <w:sz w:val="20"/>
                <w:szCs w:val="20"/>
              </w:rPr>
              <w:t xml:space="preserve">the DU for </w:t>
            </w:r>
            <w:r w:rsidRPr="00934328">
              <w:rPr>
                <w:rFonts w:ascii="Arial" w:hAnsi="Arial" w:cs="Arial"/>
                <w:strike/>
                <w:color w:val="FF0000"/>
                <w:sz w:val="20"/>
                <w:szCs w:val="20"/>
              </w:rPr>
              <w:t>an</w:t>
            </w:r>
            <w:r w:rsidRPr="00FE0263">
              <w:rPr>
                <w:rFonts w:ascii="Arial" w:hAnsi="Arial" w:cs="Arial"/>
                <w:sz w:val="20"/>
                <w:szCs w:val="20"/>
              </w:rPr>
              <w:t xml:space="preserve"> Embedded Generator.</w:t>
            </w:r>
          </w:p>
          <w:p w14:paraId="4014EA1C" w14:textId="77777777" w:rsidR="00FE0263" w:rsidRPr="00FE0263" w:rsidRDefault="00FE0263" w:rsidP="00FE0263">
            <w:pPr>
              <w:jc w:val="both"/>
              <w:rPr>
                <w:rFonts w:ascii="Arial" w:hAnsi="Arial" w:cs="Arial"/>
                <w:sz w:val="20"/>
                <w:szCs w:val="20"/>
              </w:rPr>
            </w:pPr>
          </w:p>
          <w:p w14:paraId="7D6600BF" w14:textId="75229AC4" w:rsidR="00FE0263" w:rsidRPr="00FE0263" w:rsidRDefault="00FE0263" w:rsidP="31C22A3A">
            <w:pPr>
              <w:jc w:val="both"/>
              <w:rPr>
                <w:rFonts w:ascii="Arial" w:hAnsi="Arial" w:cs="Arial"/>
                <w:b/>
                <w:bCs/>
                <w:sz w:val="20"/>
                <w:szCs w:val="20"/>
                <w:highlight w:val="yellow"/>
                <w:u w:val="single"/>
              </w:rPr>
            </w:pPr>
            <w:r w:rsidRPr="31C22A3A">
              <w:rPr>
                <w:rFonts w:ascii="Arial" w:hAnsi="Arial" w:cs="Arial"/>
                <w:b/>
                <w:bCs/>
                <w:sz w:val="20"/>
                <w:szCs w:val="20"/>
                <w:u w:val="single"/>
              </w:rPr>
              <w:t xml:space="preserve">In case </w:t>
            </w:r>
            <w:r w:rsidR="17F45860" w:rsidRPr="31C22A3A">
              <w:rPr>
                <w:rFonts w:ascii="Arial" w:hAnsi="Arial" w:cs="Arial"/>
                <w:b/>
                <w:bCs/>
                <w:sz w:val="20"/>
                <w:szCs w:val="20"/>
                <w:u w:val="single"/>
              </w:rPr>
              <w:t xml:space="preserve">the test was conducted by a </w:t>
            </w:r>
            <w:r w:rsidRPr="31C22A3A">
              <w:rPr>
                <w:rFonts w:ascii="Arial" w:hAnsi="Arial" w:cs="Arial"/>
                <w:b/>
                <w:bCs/>
                <w:sz w:val="20"/>
                <w:szCs w:val="20"/>
                <w:u w:val="single"/>
              </w:rPr>
              <w:t>third-party</w:t>
            </w:r>
            <w:r w:rsidR="038FC59F" w:rsidRPr="31C22A3A">
              <w:rPr>
                <w:rFonts w:ascii="Arial" w:hAnsi="Arial" w:cs="Arial"/>
                <w:b/>
                <w:bCs/>
                <w:sz w:val="20"/>
                <w:szCs w:val="20"/>
                <w:u w:val="single"/>
              </w:rPr>
              <w:t xml:space="preserve">, the evaluation results shall be provided by the Generation Company to the TNP or the DU for the issuance of the FCATC. </w:t>
            </w:r>
            <w:r w:rsidR="0C9E5886" w:rsidRPr="31C22A3A">
              <w:rPr>
                <w:rFonts w:ascii="Arial" w:hAnsi="Arial" w:cs="Arial"/>
                <w:b/>
                <w:bCs/>
                <w:sz w:val="20"/>
                <w:szCs w:val="20"/>
                <w:u w:val="single"/>
              </w:rPr>
              <w:t xml:space="preserve">Similarly, in case the TNP conducted the test for EGs, the TNP shall provide the results to the concerned DU for the </w:t>
            </w:r>
            <w:r w:rsidR="2CCEE429" w:rsidRPr="31C22A3A">
              <w:rPr>
                <w:rFonts w:ascii="Arial" w:hAnsi="Arial" w:cs="Arial"/>
                <w:b/>
                <w:bCs/>
                <w:sz w:val="20"/>
                <w:szCs w:val="20"/>
                <w:u w:val="single"/>
              </w:rPr>
              <w:t>latter's</w:t>
            </w:r>
            <w:r w:rsidR="0C9E5886" w:rsidRPr="31C22A3A">
              <w:rPr>
                <w:rFonts w:ascii="Arial" w:hAnsi="Arial" w:cs="Arial"/>
                <w:b/>
                <w:bCs/>
                <w:sz w:val="20"/>
                <w:szCs w:val="20"/>
                <w:u w:val="single"/>
              </w:rPr>
              <w:t xml:space="preserve"> iss</w:t>
            </w:r>
            <w:r w:rsidR="7A72F99D" w:rsidRPr="31C22A3A">
              <w:rPr>
                <w:rFonts w:ascii="Arial" w:hAnsi="Arial" w:cs="Arial"/>
                <w:b/>
                <w:bCs/>
                <w:sz w:val="20"/>
                <w:szCs w:val="20"/>
                <w:u w:val="single"/>
              </w:rPr>
              <w:t>uance of the FCATC.</w:t>
            </w:r>
          </w:p>
          <w:bookmarkEnd w:id="2"/>
          <w:p w14:paraId="4D3791A7" w14:textId="77777777" w:rsidR="00FE0263" w:rsidRPr="00FE0263" w:rsidRDefault="00FE0263" w:rsidP="00FE0263">
            <w:pPr>
              <w:jc w:val="both"/>
              <w:rPr>
                <w:rFonts w:ascii="Arial" w:hAnsi="Arial" w:cs="Arial"/>
                <w:sz w:val="20"/>
                <w:szCs w:val="20"/>
              </w:rPr>
            </w:pPr>
          </w:p>
          <w:p w14:paraId="2E2F860D" w14:textId="67DB8DA8" w:rsidR="00FE0263" w:rsidRPr="00DC0AFC" w:rsidRDefault="00FE0263" w:rsidP="00FE0263">
            <w:pPr>
              <w:jc w:val="both"/>
              <w:rPr>
                <w:rFonts w:ascii="Arial" w:hAnsi="Arial" w:cs="Arial"/>
                <w:sz w:val="20"/>
                <w:szCs w:val="20"/>
              </w:rPr>
            </w:pPr>
            <w:r w:rsidRPr="00FE0263">
              <w:rPr>
                <w:rFonts w:ascii="Arial" w:hAnsi="Arial" w:cs="Arial"/>
                <w:sz w:val="20"/>
                <w:szCs w:val="20"/>
              </w:rPr>
              <w:t xml:space="preserve">xxx </w:t>
            </w:r>
            <w:proofErr w:type="spellStart"/>
            <w:r w:rsidRPr="00FE0263">
              <w:rPr>
                <w:rFonts w:ascii="Arial" w:hAnsi="Arial" w:cs="Arial"/>
                <w:sz w:val="20"/>
                <w:szCs w:val="20"/>
              </w:rPr>
              <w:t>xxx</w:t>
            </w:r>
            <w:proofErr w:type="spellEnd"/>
            <w:r w:rsidRPr="00FE0263">
              <w:rPr>
                <w:rFonts w:ascii="Arial" w:hAnsi="Arial" w:cs="Arial"/>
                <w:sz w:val="20"/>
                <w:szCs w:val="20"/>
              </w:rPr>
              <w:t xml:space="preserve"> </w:t>
            </w:r>
            <w:proofErr w:type="spellStart"/>
            <w:r w:rsidRPr="00FE0263">
              <w:rPr>
                <w:rFonts w:ascii="Arial" w:hAnsi="Arial" w:cs="Arial"/>
                <w:sz w:val="20"/>
                <w:szCs w:val="20"/>
              </w:rPr>
              <w:t>xxx</w:t>
            </w:r>
            <w:proofErr w:type="spellEnd"/>
            <w:r w:rsidRPr="00FE0263">
              <w:rPr>
                <w:rFonts w:ascii="Arial" w:hAnsi="Arial" w:cs="Arial"/>
                <w:sz w:val="20"/>
                <w:szCs w:val="20"/>
              </w:rPr>
              <w:t>”</w:t>
            </w:r>
          </w:p>
        </w:tc>
        <w:tc>
          <w:tcPr>
            <w:tcW w:w="936" w:type="pct"/>
          </w:tcPr>
          <w:p w14:paraId="5CABF6E1" w14:textId="77777777" w:rsidR="00FE0263" w:rsidRDefault="00FE0263" w:rsidP="00FE0263">
            <w:pPr>
              <w:jc w:val="both"/>
              <w:rPr>
                <w:rFonts w:ascii="Arial" w:hAnsi="Arial" w:cs="Arial"/>
                <w:sz w:val="20"/>
                <w:szCs w:val="20"/>
              </w:rPr>
            </w:pPr>
          </w:p>
          <w:p w14:paraId="27FBFE01" w14:textId="77777777" w:rsidR="001638AB" w:rsidRDefault="001638AB" w:rsidP="00FE0263">
            <w:pPr>
              <w:jc w:val="both"/>
              <w:rPr>
                <w:rFonts w:ascii="Arial" w:hAnsi="Arial" w:cs="Arial"/>
                <w:sz w:val="20"/>
                <w:szCs w:val="20"/>
              </w:rPr>
            </w:pPr>
          </w:p>
          <w:p w14:paraId="4E450987" w14:textId="77777777" w:rsidR="001638AB" w:rsidRDefault="001638AB" w:rsidP="00FE0263">
            <w:pPr>
              <w:jc w:val="both"/>
              <w:rPr>
                <w:rFonts w:ascii="Arial" w:hAnsi="Arial" w:cs="Arial"/>
                <w:sz w:val="20"/>
                <w:szCs w:val="20"/>
              </w:rPr>
            </w:pPr>
          </w:p>
          <w:p w14:paraId="02C1BC3E" w14:textId="77777777" w:rsidR="001638AB" w:rsidRDefault="001638AB" w:rsidP="00FE0263">
            <w:pPr>
              <w:jc w:val="both"/>
              <w:rPr>
                <w:rFonts w:ascii="Arial" w:hAnsi="Arial" w:cs="Arial"/>
                <w:sz w:val="20"/>
                <w:szCs w:val="20"/>
              </w:rPr>
            </w:pPr>
          </w:p>
          <w:p w14:paraId="2B113A67" w14:textId="77777777" w:rsidR="001638AB" w:rsidRDefault="001638AB" w:rsidP="00FE0263">
            <w:pPr>
              <w:jc w:val="both"/>
              <w:rPr>
                <w:rFonts w:ascii="Arial" w:hAnsi="Arial" w:cs="Arial"/>
                <w:sz w:val="20"/>
                <w:szCs w:val="20"/>
              </w:rPr>
            </w:pPr>
          </w:p>
          <w:p w14:paraId="70CBDB5A" w14:textId="77777777" w:rsidR="001638AB" w:rsidRDefault="001638AB" w:rsidP="00FE0263">
            <w:pPr>
              <w:jc w:val="both"/>
              <w:rPr>
                <w:rFonts w:ascii="Arial" w:hAnsi="Arial" w:cs="Arial"/>
                <w:sz w:val="20"/>
                <w:szCs w:val="20"/>
              </w:rPr>
            </w:pPr>
          </w:p>
          <w:p w14:paraId="54AA0E45" w14:textId="77777777" w:rsidR="001638AB" w:rsidRDefault="001638AB" w:rsidP="00FE0263">
            <w:pPr>
              <w:jc w:val="both"/>
              <w:rPr>
                <w:rFonts w:ascii="Arial" w:hAnsi="Arial" w:cs="Arial"/>
                <w:sz w:val="20"/>
                <w:szCs w:val="20"/>
              </w:rPr>
            </w:pPr>
          </w:p>
          <w:p w14:paraId="5A972F76" w14:textId="77777777" w:rsidR="001638AB" w:rsidRDefault="001638AB" w:rsidP="00FE0263">
            <w:pPr>
              <w:jc w:val="both"/>
              <w:rPr>
                <w:rFonts w:ascii="Arial" w:hAnsi="Arial" w:cs="Arial"/>
                <w:sz w:val="20"/>
                <w:szCs w:val="20"/>
              </w:rPr>
            </w:pPr>
          </w:p>
          <w:p w14:paraId="4FFDFC16" w14:textId="77777777" w:rsidR="001638AB" w:rsidRDefault="001638AB" w:rsidP="00FE0263">
            <w:pPr>
              <w:jc w:val="both"/>
              <w:rPr>
                <w:rFonts w:ascii="Arial" w:hAnsi="Arial" w:cs="Arial"/>
                <w:sz w:val="20"/>
                <w:szCs w:val="20"/>
              </w:rPr>
            </w:pPr>
          </w:p>
          <w:p w14:paraId="48CCC6E9" w14:textId="77777777" w:rsidR="001638AB" w:rsidRDefault="001638AB" w:rsidP="00FE0263">
            <w:pPr>
              <w:jc w:val="both"/>
              <w:rPr>
                <w:rFonts w:ascii="Arial" w:hAnsi="Arial" w:cs="Arial"/>
                <w:sz w:val="20"/>
                <w:szCs w:val="20"/>
              </w:rPr>
            </w:pPr>
            <w:r>
              <w:rPr>
                <w:rFonts w:ascii="Arial" w:hAnsi="Arial" w:cs="Arial"/>
                <w:sz w:val="20"/>
                <w:szCs w:val="20"/>
              </w:rPr>
              <w:t xml:space="preserve">NGCP or third-party entity shall submit </w:t>
            </w:r>
            <w:r w:rsidR="00185FF8">
              <w:rPr>
                <w:rFonts w:ascii="Arial" w:hAnsi="Arial" w:cs="Arial"/>
                <w:sz w:val="20"/>
                <w:szCs w:val="20"/>
              </w:rPr>
              <w:t>the testing results to the DU.</w:t>
            </w:r>
          </w:p>
          <w:p w14:paraId="26782ED6" w14:textId="77777777" w:rsidR="00185FF8" w:rsidRDefault="00185FF8" w:rsidP="00FE0263">
            <w:pPr>
              <w:jc w:val="both"/>
              <w:rPr>
                <w:rFonts w:ascii="Arial" w:hAnsi="Arial" w:cs="Arial"/>
                <w:sz w:val="20"/>
                <w:szCs w:val="20"/>
              </w:rPr>
            </w:pPr>
          </w:p>
          <w:p w14:paraId="4215755B" w14:textId="77777777" w:rsidR="00185FF8" w:rsidRDefault="00185FF8" w:rsidP="00FE0263">
            <w:pPr>
              <w:jc w:val="both"/>
              <w:rPr>
                <w:rFonts w:ascii="Arial" w:hAnsi="Arial" w:cs="Arial"/>
                <w:sz w:val="20"/>
                <w:szCs w:val="20"/>
              </w:rPr>
            </w:pPr>
          </w:p>
          <w:p w14:paraId="65E943D0" w14:textId="77777777" w:rsidR="00185FF8" w:rsidRDefault="00185FF8" w:rsidP="00FE0263">
            <w:pPr>
              <w:jc w:val="both"/>
              <w:rPr>
                <w:rFonts w:ascii="Arial" w:hAnsi="Arial" w:cs="Arial"/>
                <w:sz w:val="20"/>
                <w:szCs w:val="20"/>
              </w:rPr>
            </w:pPr>
          </w:p>
          <w:p w14:paraId="3DE44584" w14:textId="77777777" w:rsidR="00185FF8" w:rsidRDefault="00185FF8" w:rsidP="00FE0263">
            <w:pPr>
              <w:jc w:val="both"/>
              <w:rPr>
                <w:rFonts w:ascii="Arial" w:hAnsi="Arial" w:cs="Arial"/>
                <w:sz w:val="20"/>
                <w:szCs w:val="20"/>
              </w:rPr>
            </w:pPr>
          </w:p>
          <w:p w14:paraId="68C35FA8" w14:textId="77777777" w:rsidR="00185FF8" w:rsidRDefault="00185FF8" w:rsidP="00FE0263">
            <w:pPr>
              <w:jc w:val="both"/>
              <w:rPr>
                <w:rFonts w:ascii="Arial" w:hAnsi="Arial" w:cs="Arial"/>
                <w:sz w:val="20"/>
                <w:szCs w:val="20"/>
              </w:rPr>
            </w:pPr>
          </w:p>
          <w:p w14:paraId="7F8FDD78" w14:textId="77777777" w:rsidR="00185FF8" w:rsidRDefault="00185FF8" w:rsidP="00FE0263">
            <w:pPr>
              <w:jc w:val="both"/>
              <w:rPr>
                <w:rFonts w:ascii="Arial" w:hAnsi="Arial" w:cs="Arial"/>
                <w:sz w:val="20"/>
                <w:szCs w:val="20"/>
              </w:rPr>
            </w:pPr>
          </w:p>
          <w:p w14:paraId="4F47DDCE" w14:textId="77777777" w:rsidR="00185FF8" w:rsidRDefault="00185FF8" w:rsidP="00FE0263">
            <w:pPr>
              <w:jc w:val="both"/>
              <w:rPr>
                <w:rFonts w:ascii="Arial" w:hAnsi="Arial" w:cs="Arial"/>
                <w:sz w:val="20"/>
                <w:szCs w:val="20"/>
              </w:rPr>
            </w:pPr>
          </w:p>
          <w:p w14:paraId="2891F426" w14:textId="77777777" w:rsidR="00185FF8" w:rsidRDefault="00185FF8" w:rsidP="00FE0263">
            <w:pPr>
              <w:jc w:val="both"/>
              <w:rPr>
                <w:rFonts w:ascii="Arial" w:hAnsi="Arial" w:cs="Arial"/>
                <w:sz w:val="20"/>
                <w:szCs w:val="20"/>
              </w:rPr>
            </w:pPr>
          </w:p>
          <w:p w14:paraId="587A4789" w14:textId="77777777" w:rsidR="00185FF8" w:rsidRDefault="00185FF8" w:rsidP="00FE0263">
            <w:pPr>
              <w:jc w:val="both"/>
              <w:rPr>
                <w:rFonts w:ascii="Arial" w:hAnsi="Arial" w:cs="Arial"/>
                <w:sz w:val="20"/>
                <w:szCs w:val="20"/>
              </w:rPr>
            </w:pPr>
          </w:p>
          <w:p w14:paraId="24648AD6" w14:textId="77777777" w:rsidR="00185FF8" w:rsidRDefault="00185FF8" w:rsidP="00FE0263">
            <w:pPr>
              <w:jc w:val="both"/>
              <w:rPr>
                <w:rFonts w:ascii="Arial" w:hAnsi="Arial" w:cs="Arial"/>
                <w:sz w:val="20"/>
                <w:szCs w:val="20"/>
              </w:rPr>
            </w:pPr>
          </w:p>
          <w:p w14:paraId="3CC4E5F0" w14:textId="5EADC7C5" w:rsidR="00185FF8" w:rsidRDefault="00185FF8" w:rsidP="31C22A3A">
            <w:pPr>
              <w:jc w:val="both"/>
              <w:rPr>
                <w:rFonts w:ascii="Arial" w:hAnsi="Arial" w:cs="Arial"/>
                <w:sz w:val="20"/>
                <w:szCs w:val="20"/>
              </w:rPr>
            </w:pPr>
          </w:p>
          <w:p w14:paraId="28816357" w14:textId="77777777" w:rsidR="00185FF8" w:rsidRDefault="00185FF8" w:rsidP="00FE0263">
            <w:pPr>
              <w:jc w:val="both"/>
              <w:rPr>
                <w:rFonts w:ascii="Arial" w:hAnsi="Arial" w:cs="Arial"/>
                <w:sz w:val="20"/>
                <w:szCs w:val="20"/>
              </w:rPr>
            </w:pPr>
          </w:p>
          <w:p w14:paraId="7772CC4C" w14:textId="77777777" w:rsidR="00185FF8" w:rsidRDefault="00185FF8" w:rsidP="00FE0263">
            <w:pPr>
              <w:jc w:val="both"/>
              <w:rPr>
                <w:rFonts w:ascii="Arial" w:hAnsi="Arial" w:cs="Arial"/>
                <w:sz w:val="20"/>
                <w:szCs w:val="20"/>
              </w:rPr>
            </w:pPr>
          </w:p>
          <w:p w14:paraId="7036789D" w14:textId="011077B0" w:rsidR="00185FF8" w:rsidRPr="00DC0AFC" w:rsidRDefault="00185FF8" w:rsidP="00FE0263">
            <w:pPr>
              <w:jc w:val="both"/>
              <w:rPr>
                <w:rFonts w:ascii="Arial" w:hAnsi="Arial" w:cs="Arial"/>
                <w:sz w:val="20"/>
                <w:szCs w:val="20"/>
              </w:rPr>
            </w:pPr>
            <w:r>
              <w:rPr>
                <w:rFonts w:ascii="Arial" w:hAnsi="Arial" w:cs="Arial"/>
                <w:sz w:val="20"/>
                <w:szCs w:val="20"/>
              </w:rPr>
              <w:t xml:space="preserve">The DU then will review and will issue the FCATC to the </w:t>
            </w:r>
            <w:proofErr w:type="spellStart"/>
            <w:r>
              <w:rPr>
                <w:rFonts w:ascii="Arial" w:hAnsi="Arial" w:cs="Arial"/>
                <w:sz w:val="20"/>
                <w:szCs w:val="20"/>
              </w:rPr>
              <w:t>GenCo</w:t>
            </w:r>
            <w:proofErr w:type="spellEnd"/>
            <w:r>
              <w:rPr>
                <w:rFonts w:ascii="Arial" w:hAnsi="Arial" w:cs="Arial"/>
                <w:sz w:val="20"/>
                <w:szCs w:val="20"/>
              </w:rPr>
              <w:t xml:space="preserve"> based on the results of T&amp;C.</w:t>
            </w:r>
          </w:p>
        </w:tc>
      </w:tr>
      <w:tr w:rsidR="00934328" w:rsidRPr="00DC0AFC" w14:paraId="0F7B0A44" w14:textId="77777777" w:rsidTr="31C22A3A">
        <w:trPr>
          <w:trHeight w:val="300"/>
        </w:trPr>
        <w:tc>
          <w:tcPr>
            <w:tcW w:w="631" w:type="pct"/>
          </w:tcPr>
          <w:p w14:paraId="61B158F0" w14:textId="77777777" w:rsidR="00934328" w:rsidRPr="00DC0AFC" w:rsidRDefault="00934328" w:rsidP="00FE0263">
            <w:pPr>
              <w:jc w:val="both"/>
              <w:rPr>
                <w:rFonts w:ascii="Arial" w:hAnsi="Arial" w:cs="Arial"/>
                <w:sz w:val="20"/>
                <w:szCs w:val="20"/>
              </w:rPr>
            </w:pPr>
          </w:p>
        </w:tc>
        <w:tc>
          <w:tcPr>
            <w:tcW w:w="363" w:type="pct"/>
          </w:tcPr>
          <w:p w14:paraId="6BADD157" w14:textId="77777777" w:rsidR="00934328" w:rsidRPr="00DC0AFC" w:rsidRDefault="00934328" w:rsidP="00FE0263">
            <w:pPr>
              <w:jc w:val="center"/>
              <w:rPr>
                <w:rFonts w:ascii="Arial" w:hAnsi="Arial" w:cs="Arial"/>
                <w:sz w:val="20"/>
                <w:szCs w:val="20"/>
              </w:rPr>
            </w:pPr>
          </w:p>
        </w:tc>
        <w:tc>
          <w:tcPr>
            <w:tcW w:w="1490" w:type="pct"/>
          </w:tcPr>
          <w:p w14:paraId="78297F4A" w14:textId="15DD23EC" w:rsidR="009A1669" w:rsidRDefault="009A1669" w:rsidP="00FE0263">
            <w:pPr>
              <w:jc w:val="both"/>
              <w:rPr>
                <w:rFonts w:ascii="Arial" w:hAnsi="Arial" w:cs="Arial"/>
                <w:sz w:val="20"/>
                <w:szCs w:val="20"/>
              </w:rPr>
            </w:pPr>
            <w:r>
              <w:rPr>
                <w:rFonts w:ascii="Arial" w:hAnsi="Arial" w:cs="Arial"/>
                <w:sz w:val="20"/>
                <w:szCs w:val="20"/>
              </w:rPr>
              <w:t xml:space="preserve">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14:paraId="41787C6A" w14:textId="77777777" w:rsidR="009A1669" w:rsidRDefault="009A1669" w:rsidP="00FE0263">
            <w:pPr>
              <w:jc w:val="both"/>
              <w:rPr>
                <w:rFonts w:ascii="Arial" w:hAnsi="Arial" w:cs="Arial"/>
                <w:sz w:val="20"/>
                <w:szCs w:val="20"/>
              </w:rPr>
            </w:pPr>
          </w:p>
          <w:p w14:paraId="62BB0658" w14:textId="77777777" w:rsidR="001228C0" w:rsidRPr="001228C0" w:rsidRDefault="00934328" w:rsidP="001228C0">
            <w:pPr>
              <w:jc w:val="both"/>
              <w:rPr>
                <w:rFonts w:ascii="Arial" w:hAnsi="Arial" w:cs="Arial"/>
                <w:sz w:val="20"/>
                <w:szCs w:val="20"/>
              </w:rPr>
            </w:pPr>
            <w:r>
              <w:rPr>
                <w:rFonts w:ascii="Arial" w:hAnsi="Arial" w:cs="Arial"/>
                <w:sz w:val="20"/>
                <w:szCs w:val="20"/>
              </w:rPr>
              <w:t xml:space="preserve">4.4.5 The </w:t>
            </w:r>
            <w:bookmarkStart w:id="3" w:name="_Hlk140753162"/>
            <w:r>
              <w:rPr>
                <w:rFonts w:ascii="Arial" w:hAnsi="Arial" w:cs="Arial"/>
                <w:sz w:val="20"/>
                <w:szCs w:val="20"/>
              </w:rPr>
              <w:t>ERC, within sixty (60) calendar days upon receipt of the final CATC</w:t>
            </w:r>
            <w:bookmarkEnd w:id="3"/>
            <w:r w:rsidR="001228C0">
              <w:rPr>
                <w:rFonts w:ascii="Arial" w:hAnsi="Arial" w:cs="Arial"/>
                <w:sz w:val="20"/>
                <w:szCs w:val="20"/>
              </w:rPr>
              <w:t xml:space="preserve"> </w:t>
            </w:r>
            <w:r w:rsidR="001228C0" w:rsidRPr="001228C0">
              <w:rPr>
                <w:rFonts w:ascii="Arial" w:hAnsi="Arial" w:cs="Arial"/>
                <w:sz w:val="20"/>
                <w:szCs w:val="20"/>
              </w:rPr>
              <w:t xml:space="preserve">and satisfaction of other applicable requirements, shall issue the COC to the Generation Company with respect to its </w:t>
            </w:r>
            <w:r w:rsidR="001228C0" w:rsidRPr="001228C0">
              <w:rPr>
                <w:rFonts w:ascii="Arial" w:hAnsi="Arial" w:cs="Arial"/>
                <w:sz w:val="20"/>
                <w:szCs w:val="20"/>
              </w:rPr>
              <w:lastRenderedPageBreak/>
              <w:t xml:space="preserve">Generation Facility. The ERC shall furnish a copy of the same to the MO and publish a list thereof </w:t>
            </w:r>
            <w:proofErr w:type="gramStart"/>
            <w:r w:rsidR="001228C0" w:rsidRPr="001228C0">
              <w:rPr>
                <w:rFonts w:ascii="Arial" w:hAnsi="Arial" w:cs="Arial"/>
                <w:sz w:val="20"/>
                <w:szCs w:val="20"/>
              </w:rPr>
              <w:t>in</w:t>
            </w:r>
            <w:proofErr w:type="gramEnd"/>
            <w:r w:rsidR="001228C0" w:rsidRPr="001228C0">
              <w:rPr>
                <w:rFonts w:ascii="Arial" w:hAnsi="Arial" w:cs="Arial"/>
                <w:sz w:val="20"/>
                <w:szCs w:val="20"/>
              </w:rPr>
              <w:t xml:space="preserve"> the ERC website </w:t>
            </w:r>
            <w:proofErr w:type="gramStart"/>
            <w:r w:rsidR="001228C0" w:rsidRPr="001228C0">
              <w:rPr>
                <w:rFonts w:ascii="Arial" w:hAnsi="Arial" w:cs="Arial"/>
                <w:sz w:val="20"/>
                <w:szCs w:val="20"/>
              </w:rPr>
              <w:t>on a monthly basis</w:t>
            </w:r>
            <w:proofErr w:type="gramEnd"/>
            <w:r w:rsidR="001228C0" w:rsidRPr="001228C0">
              <w:rPr>
                <w:rFonts w:ascii="Arial" w:hAnsi="Arial" w:cs="Arial"/>
                <w:sz w:val="20"/>
                <w:szCs w:val="20"/>
              </w:rPr>
              <w:t>.</w:t>
            </w:r>
          </w:p>
          <w:p w14:paraId="3BEF3F87" w14:textId="77777777" w:rsidR="001228C0" w:rsidRPr="001228C0" w:rsidRDefault="001228C0" w:rsidP="001228C0">
            <w:pPr>
              <w:jc w:val="both"/>
              <w:rPr>
                <w:rFonts w:ascii="Arial" w:hAnsi="Arial" w:cs="Arial"/>
                <w:sz w:val="20"/>
                <w:szCs w:val="20"/>
              </w:rPr>
            </w:pPr>
          </w:p>
          <w:p w14:paraId="6464E48C" w14:textId="77777777" w:rsidR="001228C0" w:rsidRPr="001228C0" w:rsidRDefault="001228C0" w:rsidP="001228C0">
            <w:pPr>
              <w:jc w:val="both"/>
              <w:rPr>
                <w:rFonts w:ascii="Arial" w:hAnsi="Arial" w:cs="Arial"/>
                <w:sz w:val="20"/>
                <w:szCs w:val="20"/>
              </w:rPr>
            </w:pPr>
            <w:r w:rsidRPr="001228C0">
              <w:rPr>
                <w:rFonts w:ascii="Arial" w:hAnsi="Arial" w:cs="Arial"/>
                <w:sz w:val="20"/>
                <w:szCs w:val="20"/>
              </w:rPr>
              <w:t>Pending the issuance of the COC by the ERC, a Generation Company that has been issued with a final CATC may be allowed to continue to operate and be compensated as price taker in the market, unless the ERC issues an Order for the Generation Company's immediate disconnection from the grid.</w:t>
            </w:r>
          </w:p>
          <w:p w14:paraId="0DA0CC25" w14:textId="77777777" w:rsidR="001228C0" w:rsidRPr="001228C0" w:rsidRDefault="001228C0" w:rsidP="001228C0">
            <w:pPr>
              <w:jc w:val="both"/>
              <w:rPr>
                <w:rFonts w:ascii="Arial" w:hAnsi="Arial" w:cs="Arial"/>
                <w:sz w:val="20"/>
                <w:szCs w:val="20"/>
              </w:rPr>
            </w:pPr>
          </w:p>
          <w:p w14:paraId="6CC44F87" w14:textId="77777777" w:rsidR="001228C0" w:rsidRPr="00E359A7" w:rsidRDefault="001228C0" w:rsidP="001228C0">
            <w:pPr>
              <w:jc w:val="both"/>
              <w:rPr>
                <w:rFonts w:ascii="Arial" w:hAnsi="Arial" w:cs="Arial"/>
                <w:sz w:val="20"/>
                <w:szCs w:val="20"/>
              </w:rPr>
            </w:pPr>
            <w:r w:rsidRPr="001228C0">
              <w:rPr>
                <w:rFonts w:ascii="Arial" w:hAnsi="Arial" w:cs="Arial"/>
                <w:sz w:val="20"/>
                <w:szCs w:val="20"/>
              </w:rPr>
              <w:t xml:space="preserve">For this purpose, the Generation Company's dispatch shall be in </w:t>
            </w:r>
            <w:r w:rsidRPr="00E359A7">
              <w:rPr>
                <w:rFonts w:ascii="Arial" w:hAnsi="Arial" w:cs="Arial"/>
                <w:sz w:val="20"/>
                <w:szCs w:val="20"/>
              </w:rPr>
              <w:t>accordance with the following:</w:t>
            </w:r>
          </w:p>
          <w:p w14:paraId="422BCEB3" w14:textId="77777777" w:rsidR="001228C0" w:rsidRPr="00E359A7" w:rsidRDefault="001228C0" w:rsidP="001228C0">
            <w:pPr>
              <w:jc w:val="both"/>
              <w:rPr>
                <w:rFonts w:ascii="Arial" w:hAnsi="Arial" w:cs="Arial"/>
                <w:sz w:val="20"/>
                <w:szCs w:val="20"/>
              </w:rPr>
            </w:pPr>
          </w:p>
          <w:p w14:paraId="25A58F28" w14:textId="77777777" w:rsidR="001228C0" w:rsidRPr="00E359A7" w:rsidRDefault="001228C0" w:rsidP="001228C0">
            <w:pPr>
              <w:jc w:val="both"/>
              <w:rPr>
                <w:rFonts w:ascii="Arial" w:hAnsi="Arial" w:cs="Arial"/>
                <w:sz w:val="20"/>
                <w:szCs w:val="20"/>
              </w:rPr>
            </w:pPr>
            <w:r w:rsidRPr="00E359A7">
              <w:rPr>
                <w:rFonts w:ascii="Arial" w:hAnsi="Arial" w:cs="Arial"/>
                <w:sz w:val="20"/>
                <w:szCs w:val="20"/>
              </w:rPr>
              <w:t>4.4.5.1. For Variable Renewable Energy, the Generation Company shall submit its projected output to the MO and comply with applicable forecast accuracy standards; and</w:t>
            </w:r>
          </w:p>
          <w:p w14:paraId="5B71BB1C" w14:textId="77777777" w:rsidR="001228C0" w:rsidRPr="00E359A7" w:rsidRDefault="001228C0" w:rsidP="001228C0">
            <w:pPr>
              <w:jc w:val="both"/>
              <w:rPr>
                <w:rFonts w:ascii="Arial" w:hAnsi="Arial" w:cs="Arial"/>
                <w:sz w:val="20"/>
                <w:szCs w:val="20"/>
              </w:rPr>
            </w:pPr>
          </w:p>
          <w:p w14:paraId="35240940" w14:textId="77777777" w:rsidR="001228C0" w:rsidRPr="001228C0" w:rsidRDefault="001228C0" w:rsidP="001228C0">
            <w:pPr>
              <w:jc w:val="both"/>
              <w:rPr>
                <w:rFonts w:ascii="Arial" w:hAnsi="Arial" w:cs="Arial"/>
                <w:sz w:val="20"/>
                <w:szCs w:val="20"/>
              </w:rPr>
            </w:pPr>
            <w:r w:rsidRPr="00E359A7">
              <w:rPr>
                <w:rFonts w:ascii="Arial" w:hAnsi="Arial" w:cs="Arial"/>
                <w:sz w:val="20"/>
                <w:szCs w:val="20"/>
              </w:rPr>
              <w:t>4.4.5.2. For scheduled generating units, priority dispatch generating units, and energy storage systems, the Generation Company shall submit to the MO its day ahead nomination and shall comply with the applicable dispatch conformance standards.</w:t>
            </w:r>
          </w:p>
          <w:p w14:paraId="42839B31" w14:textId="77777777" w:rsidR="001228C0" w:rsidRPr="001228C0" w:rsidRDefault="001228C0" w:rsidP="001228C0">
            <w:pPr>
              <w:jc w:val="both"/>
              <w:rPr>
                <w:rFonts w:ascii="Arial" w:hAnsi="Arial" w:cs="Arial"/>
                <w:sz w:val="20"/>
                <w:szCs w:val="20"/>
              </w:rPr>
            </w:pPr>
          </w:p>
          <w:p w14:paraId="4DE57074" w14:textId="77777777" w:rsidR="001228C0" w:rsidRPr="001228C0" w:rsidRDefault="001228C0" w:rsidP="001228C0">
            <w:pPr>
              <w:jc w:val="both"/>
              <w:rPr>
                <w:rFonts w:ascii="Arial" w:hAnsi="Arial" w:cs="Arial"/>
                <w:sz w:val="20"/>
                <w:szCs w:val="20"/>
              </w:rPr>
            </w:pPr>
            <w:r w:rsidRPr="001228C0">
              <w:rPr>
                <w:rFonts w:ascii="Arial" w:hAnsi="Arial" w:cs="Arial"/>
                <w:sz w:val="20"/>
                <w:szCs w:val="20"/>
              </w:rPr>
              <w:t>Projected output and day-ahead nominations shall be submitted through the MO's Market Participant Interface, which, as necessary, may be revised by the Generation Company near real-time.</w:t>
            </w:r>
          </w:p>
          <w:p w14:paraId="7618012E" w14:textId="77777777" w:rsidR="001228C0" w:rsidRPr="001228C0" w:rsidRDefault="001228C0" w:rsidP="001228C0">
            <w:pPr>
              <w:jc w:val="both"/>
              <w:rPr>
                <w:rFonts w:ascii="Arial" w:hAnsi="Arial" w:cs="Arial"/>
                <w:sz w:val="20"/>
                <w:szCs w:val="20"/>
              </w:rPr>
            </w:pPr>
          </w:p>
          <w:p w14:paraId="3E4178C2" w14:textId="2B8F7C97" w:rsidR="001228C0" w:rsidRPr="001228C0" w:rsidRDefault="001228C0" w:rsidP="001228C0">
            <w:pPr>
              <w:jc w:val="both"/>
              <w:rPr>
                <w:rFonts w:ascii="Arial" w:hAnsi="Arial" w:cs="Arial"/>
                <w:sz w:val="20"/>
                <w:szCs w:val="20"/>
              </w:rPr>
            </w:pPr>
            <w:r w:rsidRPr="001228C0">
              <w:rPr>
                <w:rFonts w:ascii="Arial" w:hAnsi="Arial" w:cs="Arial"/>
                <w:sz w:val="20"/>
                <w:szCs w:val="20"/>
              </w:rPr>
              <w:t>All Generation Companies with final CATC but with pending issuance of COC, who submitted day ahead projected output or nomination shall be</w:t>
            </w:r>
            <w:r>
              <w:rPr>
                <w:rFonts w:ascii="Arial" w:hAnsi="Arial" w:cs="Arial"/>
                <w:sz w:val="20"/>
                <w:szCs w:val="20"/>
              </w:rPr>
              <w:t xml:space="preserve"> </w:t>
            </w:r>
            <w:r w:rsidRPr="001228C0">
              <w:rPr>
                <w:rFonts w:ascii="Arial" w:hAnsi="Arial" w:cs="Arial"/>
                <w:sz w:val="20"/>
                <w:szCs w:val="20"/>
              </w:rPr>
              <w:t>monitored by the Enforcement and Compliance Office and be subject to imposition of financial penalties.</w:t>
            </w:r>
          </w:p>
          <w:p w14:paraId="70C272EE" w14:textId="77777777" w:rsidR="001228C0" w:rsidRPr="001228C0" w:rsidRDefault="001228C0" w:rsidP="001228C0">
            <w:pPr>
              <w:jc w:val="both"/>
              <w:rPr>
                <w:rFonts w:ascii="Arial" w:hAnsi="Arial" w:cs="Arial"/>
                <w:sz w:val="20"/>
                <w:szCs w:val="20"/>
              </w:rPr>
            </w:pPr>
          </w:p>
          <w:p w14:paraId="6EC00719" w14:textId="77777777" w:rsidR="001228C0" w:rsidRPr="001228C0" w:rsidRDefault="001228C0" w:rsidP="001228C0">
            <w:pPr>
              <w:jc w:val="both"/>
              <w:rPr>
                <w:rFonts w:ascii="Arial" w:hAnsi="Arial" w:cs="Arial"/>
                <w:sz w:val="20"/>
                <w:szCs w:val="20"/>
              </w:rPr>
            </w:pPr>
            <w:r w:rsidRPr="001228C0">
              <w:rPr>
                <w:rFonts w:ascii="Arial" w:hAnsi="Arial" w:cs="Arial"/>
                <w:sz w:val="20"/>
                <w:szCs w:val="20"/>
              </w:rPr>
              <w:lastRenderedPageBreak/>
              <w:t>In cases when the energy injection of the concerned Generation Companies significantly deviates from their projected output or day- ahead nomination and poses threat to system security, the SO shall implement the WESM re-dispatch process, pursuant to the WESM Rules and Market Manuals.</w:t>
            </w:r>
          </w:p>
          <w:p w14:paraId="57DD46FD" w14:textId="77777777" w:rsidR="001228C0" w:rsidRPr="001228C0" w:rsidRDefault="001228C0" w:rsidP="001228C0">
            <w:pPr>
              <w:jc w:val="both"/>
              <w:rPr>
                <w:rFonts w:ascii="Arial" w:hAnsi="Arial" w:cs="Arial"/>
                <w:sz w:val="20"/>
                <w:szCs w:val="20"/>
              </w:rPr>
            </w:pPr>
          </w:p>
          <w:p w14:paraId="0644F4DD" w14:textId="5EF929F4" w:rsidR="00934328" w:rsidRDefault="001228C0" w:rsidP="001228C0">
            <w:pPr>
              <w:jc w:val="both"/>
              <w:rPr>
                <w:rFonts w:ascii="Arial" w:hAnsi="Arial" w:cs="Arial"/>
                <w:sz w:val="20"/>
                <w:szCs w:val="20"/>
              </w:rPr>
            </w:pPr>
            <w:r w:rsidRPr="001228C0">
              <w:rPr>
                <w:rFonts w:ascii="Arial" w:hAnsi="Arial" w:cs="Arial"/>
                <w:sz w:val="20"/>
                <w:szCs w:val="20"/>
              </w:rPr>
              <w:t>All energy injected by Generation Companies with final CATC but with pending issuance of COC may be declared as bilateral quantities while spot quantities shall be paid at WESM prices.</w:t>
            </w:r>
          </w:p>
        </w:tc>
        <w:tc>
          <w:tcPr>
            <w:tcW w:w="1580" w:type="pct"/>
          </w:tcPr>
          <w:p w14:paraId="652EB0AE" w14:textId="77777777" w:rsidR="00934328" w:rsidRDefault="009A1669" w:rsidP="00FE0263">
            <w:pPr>
              <w:jc w:val="both"/>
              <w:rPr>
                <w:rFonts w:ascii="Arial" w:hAnsi="Arial" w:cs="Arial"/>
                <w:sz w:val="20"/>
                <w:szCs w:val="20"/>
              </w:rPr>
            </w:pPr>
            <w:r>
              <w:rPr>
                <w:rFonts w:ascii="Arial" w:hAnsi="Arial" w:cs="Arial"/>
                <w:sz w:val="20"/>
                <w:szCs w:val="20"/>
              </w:rPr>
              <w:lastRenderedPageBreak/>
              <w:t xml:space="preserve">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14:paraId="7BAAEE5A" w14:textId="77777777" w:rsidR="001228C0" w:rsidRDefault="001228C0" w:rsidP="00FE0263">
            <w:pPr>
              <w:jc w:val="both"/>
              <w:rPr>
                <w:rFonts w:ascii="Arial" w:hAnsi="Arial" w:cs="Arial"/>
                <w:sz w:val="20"/>
                <w:szCs w:val="20"/>
              </w:rPr>
            </w:pPr>
          </w:p>
          <w:p w14:paraId="2C5D423B" w14:textId="0A6A3049" w:rsidR="001228C0" w:rsidRPr="001228C0" w:rsidRDefault="001228C0" w:rsidP="001228C0">
            <w:pPr>
              <w:jc w:val="both"/>
              <w:rPr>
                <w:rFonts w:ascii="Arial" w:hAnsi="Arial" w:cs="Arial"/>
                <w:sz w:val="20"/>
                <w:szCs w:val="20"/>
              </w:rPr>
            </w:pPr>
            <w:r>
              <w:rPr>
                <w:rFonts w:ascii="Arial" w:hAnsi="Arial" w:cs="Arial"/>
                <w:sz w:val="20"/>
                <w:szCs w:val="20"/>
              </w:rPr>
              <w:t xml:space="preserve">4.4.5 The ERC, within sixty (60) calendar days upon receipt of the </w:t>
            </w:r>
            <w:r w:rsidR="0022151C" w:rsidRPr="0022151C">
              <w:rPr>
                <w:rFonts w:ascii="Arial" w:hAnsi="Arial" w:cs="Arial"/>
                <w:b/>
                <w:bCs/>
                <w:sz w:val="20"/>
                <w:szCs w:val="20"/>
                <w:u w:val="single"/>
              </w:rPr>
              <w:t>FCATC</w:t>
            </w:r>
            <w:r>
              <w:rPr>
                <w:rFonts w:ascii="Arial" w:hAnsi="Arial" w:cs="Arial"/>
                <w:sz w:val="20"/>
                <w:szCs w:val="20"/>
              </w:rPr>
              <w:t xml:space="preserve"> </w:t>
            </w:r>
            <w:r w:rsidRPr="001228C0">
              <w:rPr>
                <w:rFonts w:ascii="Arial" w:hAnsi="Arial" w:cs="Arial"/>
                <w:sz w:val="20"/>
                <w:szCs w:val="20"/>
              </w:rPr>
              <w:t xml:space="preserve">and satisfaction of other applicable requirements, shall issue the COC to the Generation Company with respect to its Generation </w:t>
            </w:r>
            <w:r w:rsidRPr="001228C0">
              <w:rPr>
                <w:rFonts w:ascii="Arial" w:hAnsi="Arial" w:cs="Arial"/>
                <w:sz w:val="20"/>
                <w:szCs w:val="20"/>
              </w:rPr>
              <w:lastRenderedPageBreak/>
              <w:t xml:space="preserve">Facility. The ERC shall furnish a copy of the same to the MO and publish a list thereof </w:t>
            </w:r>
            <w:proofErr w:type="gramStart"/>
            <w:r w:rsidRPr="001228C0">
              <w:rPr>
                <w:rFonts w:ascii="Arial" w:hAnsi="Arial" w:cs="Arial"/>
                <w:sz w:val="20"/>
                <w:szCs w:val="20"/>
              </w:rPr>
              <w:t>in</w:t>
            </w:r>
            <w:proofErr w:type="gramEnd"/>
            <w:r w:rsidRPr="001228C0">
              <w:rPr>
                <w:rFonts w:ascii="Arial" w:hAnsi="Arial" w:cs="Arial"/>
                <w:sz w:val="20"/>
                <w:szCs w:val="20"/>
              </w:rPr>
              <w:t xml:space="preserve"> the ERC website </w:t>
            </w:r>
            <w:proofErr w:type="gramStart"/>
            <w:r w:rsidRPr="001228C0">
              <w:rPr>
                <w:rFonts w:ascii="Arial" w:hAnsi="Arial" w:cs="Arial"/>
                <w:sz w:val="20"/>
                <w:szCs w:val="20"/>
              </w:rPr>
              <w:t>on a monthly basis</w:t>
            </w:r>
            <w:proofErr w:type="gramEnd"/>
            <w:r w:rsidRPr="001228C0">
              <w:rPr>
                <w:rFonts w:ascii="Arial" w:hAnsi="Arial" w:cs="Arial"/>
                <w:sz w:val="20"/>
                <w:szCs w:val="20"/>
              </w:rPr>
              <w:t>.</w:t>
            </w:r>
          </w:p>
          <w:p w14:paraId="10C29313" w14:textId="77777777" w:rsidR="001228C0" w:rsidRPr="001228C0" w:rsidRDefault="001228C0" w:rsidP="001228C0">
            <w:pPr>
              <w:jc w:val="both"/>
              <w:rPr>
                <w:rFonts w:ascii="Arial" w:hAnsi="Arial" w:cs="Arial"/>
                <w:sz w:val="20"/>
                <w:szCs w:val="20"/>
              </w:rPr>
            </w:pPr>
          </w:p>
          <w:p w14:paraId="1390F7E0" w14:textId="2352253B" w:rsidR="001228C0" w:rsidRPr="001228C0" w:rsidRDefault="001228C0" w:rsidP="001228C0">
            <w:pPr>
              <w:jc w:val="both"/>
              <w:rPr>
                <w:rFonts w:ascii="Arial" w:hAnsi="Arial" w:cs="Arial"/>
                <w:sz w:val="20"/>
                <w:szCs w:val="20"/>
              </w:rPr>
            </w:pPr>
            <w:r w:rsidRPr="001228C0">
              <w:rPr>
                <w:rFonts w:ascii="Arial" w:hAnsi="Arial" w:cs="Arial"/>
                <w:sz w:val="20"/>
                <w:szCs w:val="20"/>
              </w:rPr>
              <w:t xml:space="preserve">Pending the issuance of the COC by the ERC, a Generation Company that has been issued with a final CATC may be allowed to continue </w:t>
            </w:r>
            <w:r w:rsidRPr="001228C0">
              <w:rPr>
                <w:rFonts w:ascii="Arial" w:hAnsi="Arial" w:cs="Arial"/>
                <w:b/>
                <w:bCs/>
                <w:sz w:val="20"/>
                <w:szCs w:val="20"/>
                <w:u w:val="single"/>
              </w:rPr>
              <w:t>to operate, be dispatch and compensation pursuant to the provisions of this Circular,</w:t>
            </w:r>
            <w:r w:rsidRPr="001228C0">
              <w:rPr>
                <w:rFonts w:ascii="Arial" w:hAnsi="Arial" w:cs="Arial"/>
                <w:b/>
                <w:bCs/>
                <w:sz w:val="20"/>
                <w:szCs w:val="20"/>
              </w:rPr>
              <w:t xml:space="preserve"> </w:t>
            </w:r>
            <w:r w:rsidRPr="001228C0">
              <w:rPr>
                <w:rFonts w:ascii="Arial" w:hAnsi="Arial" w:cs="Arial"/>
                <w:strike/>
                <w:color w:val="FF0000"/>
                <w:sz w:val="20"/>
                <w:szCs w:val="20"/>
              </w:rPr>
              <w:t>to operate and be compensated as price taker in the market,</w:t>
            </w:r>
            <w:r w:rsidRPr="001228C0">
              <w:rPr>
                <w:rFonts w:ascii="Arial" w:hAnsi="Arial" w:cs="Arial"/>
                <w:sz w:val="20"/>
                <w:szCs w:val="20"/>
              </w:rPr>
              <w:t xml:space="preserve"> unless the ERC issues an Order for the Generation Company's immediate</w:t>
            </w:r>
            <w:r>
              <w:rPr>
                <w:rFonts w:ascii="Arial" w:hAnsi="Arial" w:cs="Arial"/>
                <w:sz w:val="20"/>
                <w:szCs w:val="20"/>
              </w:rPr>
              <w:t xml:space="preserve"> </w:t>
            </w:r>
            <w:r w:rsidRPr="001228C0">
              <w:rPr>
                <w:rFonts w:ascii="Arial" w:hAnsi="Arial" w:cs="Arial"/>
                <w:b/>
                <w:bCs/>
                <w:sz w:val="20"/>
                <w:szCs w:val="20"/>
                <w:u w:val="single"/>
              </w:rPr>
              <w:t>cessation and</w:t>
            </w:r>
            <w:r w:rsidRPr="001228C0">
              <w:rPr>
                <w:rFonts w:ascii="Arial" w:hAnsi="Arial" w:cs="Arial"/>
                <w:sz w:val="20"/>
                <w:szCs w:val="20"/>
              </w:rPr>
              <w:t xml:space="preserve"> disconnection from the grid.</w:t>
            </w:r>
          </w:p>
          <w:p w14:paraId="42E6D3EF" w14:textId="77777777" w:rsidR="001228C0" w:rsidRDefault="001228C0" w:rsidP="00FE0263">
            <w:pPr>
              <w:jc w:val="both"/>
              <w:rPr>
                <w:rFonts w:ascii="Arial" w:hAnsi="Arial" w:cs="Arial"/>
                <w:sz w:val="20"/>
                <w:szCs w:val="20"/>
              </w:rPr>
            </w:pPr>
          </w:p>
          <w:p w14:paraId="7AD5BCEB" w14:textId="43113985" w:rsidR="001228C0" w:rsidRPr="001228C0" w:rsidRDefault="001228C0" w:rsidP="001228C0">
            <w:pPr>
              <w:jc w:val="both"/>
              <w:rPr>
                <w:rFonts w:ascii="Arial" w:hAnsi="Arial" w:cs="Arial"/>
                <w:sz w:val="20"/>
                <w:szCs w:val="20"/>
              </w:rPr>
            </w:pPr>
            <w:r w:rsidRPr="001228C0">
              <w:rPr>
                <w:rFonts w:ascii="Arial" w:hAnsi="Arial" w:cs="Arial"/>
                <w:sz w:val="20"/>
                <w:szCs w:val="20"/>
              </w:rPr>
              <w:t>For this purpose, the Generation Company</w:t>
            </w:r>
            <w:r w:rsidRPr="001228C0">
              <w:rPr>
                <w:rFonts w:ascii="Arial" w:hAnsi="Arial" w:cs="Arial"/>
                <w:strike/>
                <w:color w:val="FF0000"/>
                <w:sz w:val="20"/>
                <w:szCs w:val="20"/>
              </w:rPr>
              <w:t xml:space="preserve">'s </w:t>
            </w:r>
            <w:r w:rsidRPr="001228C0">
              <w:rPr>
                <w:rFonts w:ascii="Arial" w:hAnsi="Arial" w:cs="Arial"/>
                <w:b/>
                <w:bCs/>
                <w:sz w:val="20"/>
                <w:szCs w:val="20"/>
                <w:u w:val="single"/>
              </w:rPr>
              <w:t>with issued FCATC, shall be dispatched and compensated in the following manner:</w:t>
            </w:r>
            <w:r w:rsidRPr="001228C0">
              <w:rPr>
                <w:rFonts w:ascii="Arial" w:hAnsi="Arial" w:cs="Arial"/>
                <w:b/>
                <w:bCs/>
                <w:sz w:val="20"/>
                <w:szCs w:val="20"/>
              </w:rPr>
              <w:t xml:space="preserve"> </w:t>
            </w:r>
            <w:r w:rsidRPr="001228C0">
              <w:rPr>
                <w:rFonts w:ascii="Arial" w:hAnsi="Arial" w:cs="Arial"/>
                <w:strike/>
                <w:color w:val="FF0000"/>
                <w:sz w:val="20"/>
                <w:szCs w:val="20"/>
              </w:rPr>
              <w:t>dispatch shall be in accordance with the following:</w:t>
            </w:r>
          </w:p>
          <w:p w14:paraId="74BD75DC" w14:textId="77777777" w:rsidR="001228C0" w:rsidRPr="001228C0" w:rsidRDefault="001228C0" w:rsidP="001228C0">
            <w:pPr>
              <w:jc w:val="both"/>
              <w:rPr>
                <w:rFonts w:ascii="Arial" w:hAnsi="Arial" w:cs="Arial"/>
                <w:sz w:val="20"/>
                <w:szCs w:val="20"/>
              </w:rPr>
            </w:pPr>
          </w:p>
          <w:p w14:paraId="235F67BE" w14:textId="05D242F1" w:rsidR="001228C0" w:rsidRPr="001228C0" w:rsidRDefault="001228C0" w:rsidP="001228C0">
            <w:pPr>
              <w:jc w:val="both"/>
              <w:rPr>
                <w:rFonts w:ascii="Arial" w:hAnsi="Arial" w:cs="Arial"/>
                <w:sz w:val="20"/>
                <w:szCs w:val="20"/>
              </w:rPr>
            </w:pPr>
            <w:r w:rsidRPr="001228C0">
              <w:rPr>
                <w:rFonts w:ascii="Arial" w:hAnsi="Arial" w:cs="Arial"/>
                <w:sz w:val="20"/>
                <w:szCs w:val="20"/>
              </w:rPr>
              <w:t>4.4.5.1.</w:t>
            </w:r>
            <w:r w:rsidR="00191054">
              <w:rPr>
                <w:rFonts w:ascii="Arial" w:hAnsi="Arial" w:cs="Arial"/>
                <w:sz w:val="20"/>
                <w:szCs w:val="20"/>
              </w:rPr>
              <w:t xml:space="preserve"> </w:t>
            </w:r>
            <w:r w:rsidRPr="001228C0">
              <w:rPr>
                <w:rFonts w:ascii="Arial" w:hAnsi="Arial" w:cs="Arial"/>
                <w:sz w:val="20"/>
                <w:szCs w:val="20"/>
              </w:rPr>
              <w:t>For Variable Renewable Energy</w:t>
            </w:r>
            <w:r w:rsidR="00EC6918">
              <w:rPr>
                <w:rFonts w:ascii="Arial" w:hAnsi="Arial" w:cs="Arial"/>
                <w:sz w:val="20"/>
                <w:szCs w:val="20"/>
              </w:rPr>
              <w:t xml:space="preserve"> </w:t>
            </w:r>
            <w:r w:rsidR="00EC6918" w:rsidRPr="00EC6918">
              <w:rPr>
                <w:rFonts w:ascii="Arial" w:hAnsi="Arial" w:cs="Arial"/>
                <w:b/>
                <w:bCs/>
                <w:sz w:val="20"/>
                <w:szCs w:val="20"/>
                <w:u w:val="single"/>
              </w:rPr>
              <w:t>and Must-Dispatch Generating Units</w:t>
            </w:r>
            <w:r w:rsidRPr="001228C0">
              <w:rPr>
                <w:rFonts w:ascii="Arial" w:hAnsi="Arial" w:cs="Arial"/>
                <w:sz w:val="20"/>
                <w:szCs w:val="20"/>
              </w:rPr>
              <w:t xml:space="preserve">, the Generation Company shall submit its projected output to the MO and comply with applicable forecast accuracy standards; </w:t>
            </w:r>
            <w:r w:rsidRPr="00191054">
              <w:rPr>
                <w:rFonts w:ascii="Arial" w:hAnsi="Arial" w:cs="Arial"/>
                <w:strike/>
                <w:color w:val="FF0000"/>
                <w:sz w:val="20"/>
                <w:szCs w:val="20"/>
              </w:rPr>
              <w:t>and</w:t>
            </w:r>
          </w:p>
          <w:p w14:paraId="7014DBA0" w14:textId="77777777" w:rsidR="001228C0" w:rsidRDefault="001228C0" w:rsidP="00FE0263">
            <w:pPr>
              <w:jc w:val="both"/>
              <w:rPr>
                <w:rFonts w:ascii="Tahoma" w:hAnsi="Tahoma" w:cs="Tahoma"/>
                <w:color w:val="000000"/>
                <w:sz w:val="20"/>
                <w:szCs w:val="20"/>
                <w:lang w:val="en-PH"/>
              </w:rPr>
            </w:pPr>
          </w:p>
          <w:p w14:paraId="1F8A7409" w14:textId="791F9FE6" w:rsidR="00191054" w:rsidRPr="00191054" w:rsidRDefault="00191054" w:rsidP="00FE0263">
            <w:pPr>
              <w:jc w:val="both"/>
              <w:rPr>
                <w:rFonts w:ascii="Tahoma" w:hAnsi="Tahoma" w:cs="Tahoma"/>
                <w:b/>
                <w:bCs/>
                <w:color w:val="000000"/>
                <w:sz w:val="20"/>
                <w:szCs w:val="20"/>
                <w:u w:val="single"/>
                <w:lang w:val="en-PH"/>
              </w:rPr>
            </w:pPr>
            <w:r w:rsidRPr="00191054">
              <w:rPr>
                <w:rFonts w:ascii="Tahoma" w:hAnsi="Tahoma" w:cs="Tahoma"/>
                <w:b/>
                <w:bCs/>
                <w:color w:val="000000"/>
                <w:sz w:val="20"/>
                <w:szCs w:val="20"/>
                <w:u w:val="single"/>
                <w:lang w:val="en-PH"/>
              </w:rPr>
              <w:t xml:space="preserve">4.4.5.2 For </w:t>
            </w:r>
            <w:r w:rsidR="00EC6918">
              <w:rPr>
                <w:rFonts w:ascii="Tahoma" w:hAnsi="Tahoma" w:cs="Tahoma"/>
                <w:b/>
                <w:bCs/>
                <w:color w:val="000000"/>
                <w:sz w:val="20"/>
                <w:szCs w:val="20"/>
                <w:u w:val="single"/>
                <w:lang w:val="en-PH"/>
              </w:rPr>
              <w:t>P</w:t>
            </w:r>
            <w:r w:rsidRPr="00191054">
              <w:rPr>
                <w:rFonts w:ascii="Tahoma" w:hAnsi="Tahoma" w:cs="Tahoma"/>
                <w:b/>
                <w:bCs/>
                <w:color w:val="000000"/>
                <w:sz w:val="20"/>
                <w:szCs w:val="20"/>
                <w:u w:val="single"/>
                <w:lang w:val="en-PH"/>
              </w:rPr>
              <w:t xml:space="preserve">riority </w:t>
            </w:r>
            <w:r w:rsidR="00EC6918">
              <w:rPr>
                <w:rFonts w:ascii="Tahoma" w:hAnsi="Tahoma" w:cs="Tahoma"/>
                <w:b/>
                <w:bCs/>
                <w:color w:val="000000"/>
                <w:sz w:val="20"/>
                <w:szCs w:val="20"/>
                <w:u w:val="single"/>
                <w:lang w:val="en-PH"/>
              </w:rPr>
              <w:t>D</w:t>
            </w:r>
            <w:r w:rsidRPr="00191054">
              <w:rPr>
                <w:rFonts w:ascii="Tahoma" w:hAnsi="Tahoma" w:cs="Tahoma"/>
                <w:b/>
                <w:bCs/>
                <w:color w:val="000000"/>
                <w:sz w:val="20"/>
                <w:szCs w:val="20"/>
                <w:u w:val="single"/>
                <w:lang w:val="en-PH"/>
              </w:rPr>
              <w:t>ispatch</w:t>
            </w:r>
            <w:r w:rsidR="00EC6918">
              <w:rPr>
                <w:rFonts w:ascii="Tahoma" w:hAnsi="Tahoma" w:cs="Tahoma"/>
                <w:b/>
                <w:bCs/>
                <w:color w:val="000000"/>
                <w:sz w:val="20"/>
                <w:szCs w:val="20"/>
                <w:u w:val="single"/>
                <w:lang w:val="en-PH"/>
              </w:rPr>
              <w:t xml:space="preserve"> Generating Units, the Generation Company shall submit to the MO its day ahead nomination and shall comply with its applicable </w:t>
            </w:r>
            <w:r w:rsidR="00EC6918" w:rsidRPr="00EC6918">
              <w:rPr>
                <w:rFonts w:ascii="Tahoma" w:hAnsi="Tahoma" w:cs="Tahoma"/>
                <w:b/>
                <w:bCs/>
                <w:color w:val="000000"/>
                <w:sz w:val="20"/>
                <w:szCs w:val="20"/>
                <w:u w:val="single"/>
                <w:lang w:val="en-PH"/>
              </w:rPr>
              <w:t>dispatch conformance standards</w:t>
            </w:r>
            <w:r w:rsidR="00EC6918">
              <w:rPr>
                <w:rFonts w:ascii="Tahoma" w:hAnsi="Tahoma" w:cs="Tahoma"/>
                <w:b/>
                <w:bCs/>
                <w:color w:val="000000"/>
                <w:sz w:val="20"/>
                <w:szCs w:val="20"/>
                <w:u w:val="single"/>
                <w:lang w:val="en-PH"/>
              </w:rPr>
              <w:t>; and</w:t>
            </w:r>
          </w:p>
          <w:p w14:paraId="155D53EA" w14:textId="77777777" w:rsidR="00191054" w:rsidRDefault="00191054" w:rsidP="00FE0263">
            <w:pPr>
              <w:jc w:val="both"/>
              <w:rPr>
                <w:rFonts w:ascii="Tahoma" w:hAnsi="Tahoma" w:cs="Tahoma"/>
                <w:color w:val="000000"/>
                <w:sz w:val="20"/>
                <w:szCs w:val="20"/>
                <w:lang w:val="en-PH"/>
              </w:rPr>
            </w:pPr>
          </w:p>
          <w:p w14:paraId="0F5BF2DA" w14:textId="7A8EB2B9" w:rsidR="001228C0" w:rsidRPr="001228C0" w:rsidRDefault="001228C0" w:rsidP="001228C0">
            <w:pPr>
              <w:jc w:val="both"/>
              <w:rPr>
                <w:rFonts w:ascii="Arial" w:hAnsi="Arial" w:cs="Arial"/>
                <w:sz w:val="20"/>
                <w:szCs w:val="20"/>
              </w:rPr>
            </w:pPr>
            <w:r w:rsidRPr="001228C0">
              <w:rPr>
                <w:rFonts w:ascii="Arial" w:hAnsi="Arial" w:cs="Arial"/>
                <w:sz w:val="20"/>
                <w:szCs w:val="20"/>
              </w:rPr>
              <w:t>4.4.5.</w:t>
            </w:r>
            <w:r w:rsidR="00191054">
              <w:rPr>
                <w:rFonts w:ascii="Arial" w:hAnsi="Arial" w:cs="Arial"/>
                <w:sz w:val="20"/>
                <w:szCs w:val="20"/>
              </w:rPr>
              <w:t>3</w:t>
            </w:r>
            <w:r w:rsidRPr="00191054">
              <w:rPr>
                <w:rFonts w:ascii="Arial" w:hAnsi="Arial" w:cs="Arial"/>
                <w:strike/>
                <w:color w:val="FF0000"/>
                <w:sz w:val="20"/>
                <w:szCs w:val="20"/>
              </w:rPr>
              <w:t>2</w:t>
            </w:r>
            <w:r w:rsidRPr="001228C0">
              <w:rPr>
                <w:rFonts w:ascii="Arial" w:hAnsi="Arial" w:cs="Arial"/>
                <w:sz w:val="20"/>
                <w:szCs w:val="20"/>
              </w:rPr>
              <w:t>. For scheduled generating units</w:t>
            </w:r>
            <w:r w:rsidRPr="00191054">
              <w:rPr>
                <w:rFonts w:ascii="Arial" w:hAnsi="Arial" w:cs="Arial"/>
                <w:strike/>
                <w:color w:val="FF0000"/>
                <w:sz w:val="20"/>
                <w:szCs w:val="20"/>
              </w:rPr>
              <w:t>, priority dispatch generating units,</w:t>
            </w:r>
            <w:r w:rsidRPr="00191054">
              <w:rPr>
                <w:rFonts w:ascii="Arial" w:hAnsi="Arial" w:cs="Arial"/>
                <w:color w:val="FF0000"/>
                <w:sz w:val="20"/>
                <w:szCs w:val="20"/>
              </w:rPr>
              <w:t xml:space="preserve"> </w:t>
            </w:r>
            <w:r w:rsidRPr="001228C0">
              <w:rPr>
                <w:rFonts w:ascii="Arial" w:hAnsi="Arial" w:cs="Arial"/>
                <w:sz w:val="20"/>
                <w:szCs w:val="20"/>
              </w:rPr>
              <w:t xml:space="preserve">and energy storage systems, the Generation Company shall submit to the MO its </w:t>
            </w:r>
            <w:r w:rsidR="00EC6918" w:rsidRPr="00EC6918">
              <w:rPr>
                <w:rFonts w:ascii="Arial" w:hAnsi="Arial" w:cs="Arial"/>
                <w:b/>
                <w:bCs/>
                <w:sz w:val="20"/>
                <w:szCs w:val="20"/>
                <w:u w:val="single"/>
              </w:rPr>
              <w:t xml:space="preserve">offer </w:t>
            </w:r>
            <w:r w:rsidR="00E359A7">
              <w:rPr>
                <w:rFonts w:ascii="Arial" w:hAnsi="Arial" w:cs="Arial"/>
                <w:b/>
                <w:bCs/>
                <w:sz w:val="20"/>
                <w:szCs w:val="20"/>
                <w:u w:val="single"/>
              </w:rPr>
              <w:t xml:space="preserve">prices and </w:t>
            </w:r>
            <w:r w:rsidR="00EC6918" w:rsidRPr="00EC6918">
              <w:rPr>
                <w:rFonts w:ascii="Arial" w:hAnsi="Arial" w:cs="Arial"/>
                <w:b/>
                <w:bCs/>
                <w:sz w:val="20"/>
                <w:szCs w:val="20"/>
                <w:u w:val="single"/>
              </w:rPr>
              <w:t>quantit</w:t>
            </w:r>
            <w:r w:rsidR="00E359A7">
              <w:rPr>
                <w:rFonts w:ascii="Arial" w:hAnsi="Arial" w:cs="Arial"/>
                <w:b/>
                <w:bCs/>
                <w:sz w:val="20"/>
                <w:szCs w:val="20"/>
                <w:u w:val="single"/>
              </w:rPr>
              <w:t>ies</w:t>
            </w:r>
            <w:r w:rsidR="00EC6918" w:rsidRPr="00E359A7">
              <w:rPr>
                <w:rFonts w:ascii="Arial" w:hAnsi="Arial" w:cs="Arial"/>
                <w:b/>
                <w:bCs/>
                <w:sz w:val="20"/>
                <w:szCs w:val="20"/>
                <w:u w:val="single"/>
              </w:rPr>
              <w:t xml:space="preserve">, </w:t>
            </w:r>
            <w:r w:rsidR="00E359A7" w:rsidRPr="00E359A7">
              <w:rPr>
                <w:rFonts w:ascii="Arial" w:hAnsi="Arial" w:cs="Arial"/>
                <w:b/>
                <w:bCs/>
                <w:sz w:val="20"/>
                <w:szCs w:val="20"/>
                <w:u w:val="single"/>
              </w:rPr>
              <w:t xml:space="preserve">with due </w:t>
            </w:r>
            <w:r w:rsidR="00EC6918" w:rsidRPr="00E359A7">
              <w:rPr>
                <w:rFonts w:ascii="Arial" w:hAnsi="Arial" w:cs="Arial"/>
                <w:b/>
                <w:bCs/>
                <w:sz w:val="20"/>
                <w:szCs w:val="20"/>
                <w:u w:val="single"/>
              </w:rPr>
              <w:t>consider</w:t>
            </w:r>
            <w:r w:rsidR="00E359A7" w:rsidRPr="00E359A7">
              <w:rPr>
                <w:rFonts w:ascii="Arial" w:hAnsi="Arial" w:cs="Arial"/>
                <w:b/>
                <w:bCs/>
                <w:sz w:val="20"/>
                <w:szCs w:val="20"/>
                <w:u w:val="single"/>
              </w:rPr>
              <w:t>ation of</w:t>
            </w:r>
            <w:r w:rsidR="00EC6918" w:rsidRPr="00E359A7">
              <w:rPr>
                <w:rFonts w:ascii="Arial" w:hAnsi="Arial" w:cs="Arial"/>
                <w:b/>
                <w:bCs/>
                <w:sz w:val="20"/>
                <w:szCs w:val="20"/>
                <w:u w:val="single"/>
              </w:rPr>
              <w:t xml:space="preserve"> its maximum available </w:t>
            </w:r>
            <w:proofErr w:type="gramStart"/>
            <w:r w:rsidR="00EC6918" w:rsidRPr="00E359A7">
              <w:rPr>
                <w:rFonts w:ascii="Arial" w:hAnsi="Arial" w:cs="Arial"/>
                <w:b/>
                <w:bCs/>
                <w:sz w:val="20"/>
                <w:szCs w:val="20"/>
                <w:u w:val="single"/>
              </w:rPr>
              <w:t>capacity,</w:t>
            </w:r>
            <w:r w:rsidR="00EC6918">
              <w:rPr>
                <w:rFonts w:ascii="Arial" w:hAnsi="Arial" w:cs="Arial"/>
                <w:b/>
                <w:bCs/>
                <w:sz w:val="20"/>
                <w:szCs w:val="20"/>
              </w:rPr>
              <w:t xml:space="preserve"> </w:t>
            </w:r>
            <w:r w:rsidR="00EC6918">
              <w:rPr>
                <w:rFonts w:ascii="Arial" w:hAnsi="Arial" w:cs="Arial"/>
                <w:sz w:val="20"/>
                <w:szCs w:val="20"/>
              </w:rPr>
              <w:t xml:space="preserve"> </w:t>
            </w:r>
            <w:r w:rsidRPr="00EC6918">
              <w:rPr>
                <w:rFonts w:ascii="Arial" w:hAnsi="Arial" w:cs="Arial"/>
                <w:strike/>
                <w:color w:val="FF0000"/>
                <w:sz w:val="20"/>
                <w:szCs w:val="20"/>
              </w:rPr>
              <w:t>day</w:t>
            </w:r>
            <w:proofErr w:type="gramEnd"/>
            <w:r w:rsidRPr="00EC6918">
              <w:rPr>
                <w:rFonts w:ascii="Arial" w:hAnsi="Arial" w:cs="Arial"/>
                <w:strike/>
                <w:color w:val="FF0000"/>
                <w:sz w:val="20"/>
                <w:szCs w:val="20"/>
              </w:rPr>
              <w:t xml:space="preserve"> ahead nomination </w:t>
            </w:r>
            <w:r w:rsidRPr="001228C0">
              <w:rPr>
                <w:rFonts w:ascii="Arial" w:hAnsi="Arial" w:cs="Arial"/>
                <w:sz w:val="20"/>
                <w:szCs w:val="20"/>
              </w:rPr>
              <w:t>and shall comply with the applicable dispatch conformance standards.</w:t>
            </w:r>
          </w:p>
          <w:p w14:paraId="541A36C4" w14:textId="77777777" w:rsidR="001228C0" w:rsidRDefault="001228C0" w:rsidP="001228C0">
            <w:pPr>
              <w:autoSpaceDE w:val="0"/>
              <w:autoSpaceDN w:val="0"/>
              <w:adjustRightInd w:val="0"/>
              <w:rPr>
                <w:rFonts w:ascii="Tahoma" w:hAnsi="Tahoma" w:cs="Tahoma"/>
                <w:color w:val="000000"/>
                <w:sz w:val="20"/>
                <w:szCs w:val="20"/>
                <w:lang w:val="en-PH"/>
              </w:rPr>
            </w:pPr>
          </w:p>
          <w:p w14:paraId="0A495956" w14:textId="77777777" w:rsidR="001228C0" w:rsidRPr="001228C0" w:rsidRDefault="001228C0" w:rsidP="001228C0">
            <w:pPr>
              <w:jc w:val="both"/>
              <w:rPr>
                <w:rFonts w:ascii="Arial" w:hAnsi="Arial" w:cs="Arial"/>
                <w:sz w:val="20"/>
                <w:szCs w:val="20"/>
              </w:rPr>
            </w:pPr>
            <w:r w:rsidRPr="001228C0">
              <w:rPr>
                <w:rFonts w:ascii="Arial" w:hAnsi="Arial" w:cs="Arial"/>
                <w:sz w:val="20"/>
                <w:szCs w:val="20"/>
              </w:rPr>
              <w:lastRenderedPageBreak/>
              <w:t>Projected output and day-ahead nominations shall be submitted through the MO's Market Participant Interface, which, as necessary, may be revised by the Generation Company near real-time.</w:t>
            </w:r>
          </w:p>
          <w:p w14:paraId="3AF4EE57" w14:textId="77777777" w:rsidR="001228C0" w:rsidRPr="001228C0" w:rsidRDefault="001228C0" w:rsidP="001228C0">
            <w:pPr>
              <w:jc w:val="both"/>
              <w:rPr>
                <w:rFonts w:ascii="Arial" w:hAnsi="Arial" w:cs="Arial"/>
                <w:sz w:val="20"/>
                <w:szCs w:val="20"/>
              </w:rPr>
            </w:pPr>
          </w:p>
          <w:p w14:paraId="31348D4B" w14:textId="4F6B4F8E" w:rsidR="001228C0" w:rsidRPr="001228C0" w:rsidRDefault="001228C0" w:rsidP="001228C0">
            <w:pPr>
              <w:jc w:val="both"/>
              <w:rPr>
                <w:rFonts w:ascii="Arial" w:hAnsi="Arial" w:cs="Arial"/>
                <w:sz w:val="20"/>
                <w:szCs w:val="20"/>
              </w:rPr>
            </w:pPr>
            <w:r w:rsidRPr="001228C0">
              <w:rPr>
                <w:rFonts w:ascii="Arial" w:hAnsi="Arial" w:cs="Arial"/>
                <w:sz w:val="20"/>
                <w:szCs w:val="20"/>
              </w:rPr>
              <w:t xml:space="preserve">All Generation Companies with </w:t>
            </w:r>
            <w:r w:rsidRPr="00E359A7">
              <w:rPr>
                <w:rFonts w:ascii="Arial" w:hAnsi="Arial" w:cs="Arial"/>
                <w:strike/>
                <w:color w:val="FF0000"/>
                <w:sz w:val="20"/>
                <w:szCs w:val="20"/>
              </w:rPr>
              <w:t xml:space="preserve">final </w:t>
            </w:r>
            <w:r w:rsidR="00E359A7" w:rsidRPr="00E359A7">
              <w:rPr>
                <w:rFonts w:ascii="Arial" w:hAnsi="Arial" w:cs="Arial"/>
                <w:b/>
                <w:bCs/>
                <w:sz w:val="20"/>
                <w:szCs w:val="20"/>
              </w:rPr>
              <w:t>F</w:t>
            </w:r>
            <w:r w:rsidRPr="00E359A7">
              <w:rPr>
                <w:rFonts w:ascii="Arial" w:hAnsi="Arial" w:cs="Arial"/>
                <w:b/>
                <w:bCs/>
                <w:sz w:val="20"/>
                <w:szCs w:val="20"/>
              </w:rPr>
              <w:t>CATC</w:t>
            </w:r>
            <w:r w:rsidRPr="001228C0">
              <w:rPr>
                <w:rFonts w:ascii="Arial" w:hAnsi="Arial" w:cs="Arial"/>
                <w:sz w:val="20"/>
                <w:szCs w:val="20"/>
              </w:rPr>
              <w:t xml:space="preserve"> but with pending issuance of COC, who submitted day ahead projected output or nomination shall be</w:t>
            </w:r>
            <w:r>
              <w:rPr>
                <w:rFonts w:ascii="Arial" w:hAnsi="Arial" w:cs="Arial"/>
                <w:sz w:val="20"/>
                <w:szCs w:val="20"/>
              </w:rPr>
              <w:t xml:space="preserve"> </w:t>
            </w:r>
            <w:r w:rsidRPr="001228C0">
              <w:rPr>
                <w:rFonts w:ascii="Arial" w:hAnsi="Arial" w:cs="Arial"/>
                <w:sz w:val="20"/>
                <w:szCs w:val="20"/>
              </w:rPr>
              <w:t>monitored by the Enforcement and Compliance Office and be subject to imposition of financial penalties.</w:t>
            </w:r>
          </w:p>
          <w:p w14:paraId="481D39E8" w14:textId="77777777" w:rsidR="001228C0" w:rsidRPr="001228C0" w:rsidRDefault="001228C0" w:rsidP="001228C0">
            <w:pPr>
              <w:jc w:val="both"/>
              <w:rPr>
                <w:rFonts w:ascii="Arial" w:hAnsi="Arial" w:cs="Arial"/>
                <w:sz w:val="20"/>
                <w:szCs w:val="20"/>
              </w:rPr>
            </w:pPr>
          </w:p>
          <w:p w14:paraId="244353F2" w14:textId="77777777" w:rsidR="001228C0" w:rsidRPr="001228C0" w:rsidRDefault="001228C0" w:rsidP="001228C0">
            <w:pPr>
              <w:jc w:val="both"/>
              <w:rPr>
                <w:rFonts w:ascii="Arial" w:hAnsi="Arial" w:cs="Arial"/>
                <w:sz w:val="20"/>
                <w:szCs w:val="20"/>
              </w:rPr>
            </w:pPr>
            <w:r w:rsidRPr="001228C0">
              <w:rPr>
                <w:rFonts w:ascii="Arial" w:hAnsi="Arial" w:cs="Arial"/>
                <w:sz w:val="20"/>
                <w:szCs w:val="20"/>
              </w:rPr>
              <w:t>In cases when the energy injection of the concerned Generation Companies significantly deviates from their projected output or day- ahead nomination and poses threat to system security, the SO shall implement the WESM re-dispatch process, pursuant to the WESM Rules and Market Manuals.</w:t>
            </w:r>
          </w:p>
          <w:p w14:paraId="45F83C83" w14:textId="77777777" w:rsidR="001228C0" w:rsidRPr="001228C0" w:rsidRDefault="001228C0" w:rsidP="001228C0">
            <w:pPr>
              <w:jc w:val="both"/>
              <w:rPr>
                <w:rFonts w:ascii="Arial" w:hAnsi="Arial" w:cs="Arial"/>
                <w:sz w:val="20"/>
                <w:szCs w:val="20"/>
              </w:rPr>
            </w:pPr>
          </w:p>
          <w:p w14:paraId="07F1ABF8" w14:textId="4FB9660B" w:rsidR="001228C0" w:rsidRDefault="001228C0" w:rsidP="001228C0">
            <w:pPr>
              <w:jc w:val="both"/>
              <w:rPr>
                <w:rFonts w:ascii="Arial" w:hAnsi="Arial" w:cs="Arial"/>
                <w:sz w:val="20"/>
                <w:szCs w:val="20"/>
              </w:rPr>
            </w:pPr>
            <w:r w:rsidRPr="001228C0">
              <w:rPr>
                <w:rFonts w:ascii="Arial" w:hAnsi="Arial" w:cs="Arial"/>
                <w:sz w:val="20"/>
                <w:szCs w:val="20"/>
              </w:rPr>
              <w:t xml:space="preserve">All energy injected by Generation Companies with </w:t>
            </w:r>
            <w:r w:rsidR="00E359A7" w:rsidRPr="00E359A7">
              <w:rPr>
                <w:rFonts w:ascii="Arial" w:hAnsi="Arial" w:cs="Arial"/>
                <w:strike/>
                <w:color w:val="FF0000"/>
                <w:sz w:val="20"/>
                <w:szCs w:val="20"/>
              </w:rPr>
              <w:t xml:space="preserve">final </w:t>
            </w:r>
            <w:r w:rsidR="00E359A7" w:rsidRPr="00E359A7">
              <w:rPr>
                <w:rFonts w:ascii="Arial" w:hAnsi="Arial" w:cs="Arial"/>
                <w:b/>
                <w:bCs/>
                <w:sz w:val="20"/>
                <w:szCs w:val="20"/>
              </w:rPr>
              <w:t>FCATC</w:t>
            </w:r>
            <w:r w:rsidRPr="001228C0">
              <w:rPr>
                <w:rFonts w:ascii="Arial" w:hAnsi="Arial" w:cs="Arial"/>
                <w:sz w:val="20"/>
                <w:szCs w:val="20"/>
              </w:rPr>
              <w:t xml:space="preserve"> but with pending issuance of COC may be declared as bilateral quantities while spot quantities shall be paid at WESM prices.</w:t>
            </w:r>
          </w:p>
          <w:p w14:paraId="58C9C79B" w14:textId="77777777" w:rsidR="001228C0" w:rsidRDefault="001228C0" w:rsidP="00FE0263">
            <w:pPr>
              <w:jc w:val="both"/>
              <w:rPr>
                <w:rFonts w:ascii="Tahoma" w:hAnsi="Tahoma" w:cs="Tahoma"/>
                <w:color w:val="000000"/>
                <w:sz w:val="20"/>
                <w:szCs w:val="20"/>
                <w:lang w:val="en-PH"/>
              </w:rPr>
            </w:pPr>
          </w:p>
          <w:p w14:paraId="1E727850" w14:textId="1B17AD61" w:rsidR="001228C0" w:rsidRPr="00191054" w:rsidRDefault="001228C0" w:rsidP="00FE0263">
            <w:pPr>
              <w:jc w:val="both"/>
              <w:rPr>
                <w:rFonts w:ascii="Arial" w:hAnsi="Arial" w:cs="Arial"/>
                <w:b/>
                <w:bCs/>
                <w:sz w:val="20"/>
                <w:szCs w:val="20"/>
                <w:u w:val="single"/>
              </w:rPr>
            </w:pPr>
            <w:r w:rsidRPr="00191054">
              <w:rPr>
                <w:rFonts w:ascii="Tahoma" w:hAnsi="Tahoma" w:cs="Tahoma"/>
                <w:b/>
                <w:bCs/>
                <w:color w:val="000000"/>
                <w:sz w:val="20"/>
                <w:szCs w:val="20"/>
                <w:u w:val="single"/>
                <w:lang w:val="en-PH"/>
              </w:rPr>
              <w:t>For clarity, the declaration of BCQ by the Gen</w:t>
            </w:r>
            <w:r w:rsidR="00191054">
              <w:rPr>
                <w:rFonts w:ascii="Tahoma" w:hAnsi="Tahoma" w:cs="Tahoma"/>
                <w:b/>
                <w:bCs/>
                <w:color w:val="000000"/>
                <w:sz w:val="20"/>
                <w:szCs w:val="20"/>
                <w:u w:val="single"/>
                <w:lang w:val="en-PH"/>
              </w:rPr>
              <w:t xml:space="preserve">eration </w:t>
            </w:r>
            <w:r w:rsidRPr="00191054">
              <w:rPr>
                <w:rFonts w:ascii="Tahoma" w:hAnsi="Tahoma" w:cs="Tahoma"/>
                <w:b/>
                <w:bCs/>
                <w:color w:val="000000"/>
                <w:sz w:val="20"/>
                <w:szCs w:val="20"/>
                <w:u w:val="single"/>
                <w:lang w:val="en-PH"/>
              </w:rPr>
              <w:t>Co</w:t>
            </w:r>
            <w:r w:rsidR="00191054">
              <w:rPr>
                <w:rFonts w:ascii="Tahoma" w:hAnsi="Tahoma" w:cs="Tahoma"/>
                <w:b/>
                <w:bCs/>
                <w:color w:val="000000"/>
                <w:sz w:val="20"/>
                <w:szCs w:val="20"/>
                <w:u w:val="single"/>
                <w:lang w:val="en-PH"/>
              </w:rPr>
              <w:t>mpany</w:t>
            </w:r>
            <w:r w:rsidRPr="00191054">
              <w:rPr>
                <w:rFonts w:ascii="Tahoma" w:hAnsi="Tahoma" w:cs="Tahoma"/>
                <w:b/>
                <w:bCs/>
                <w:color w:val="000000"/>
                <w:sz w:val="20"/>
                <w:szCs w:val="20"/>
                <w:u w:val="single"/>
                <w:lang w:val="en-PH"/>
              </w:rPr>
              <w:t xml:space="preserve"> shall be without prejudice to </w:t>
            </w:r>
            <w:r w:rsidR="00E359A7">
              <w:rPr>
                <w:rFonts w:ascii="Tahoma" w:hAnsi="Tahoma" w:cs="Tahoma"/>
                <w:b/>
                <w:bCs/>
                <w:color w:val="000000"/>
                <w:sz w:val="20"/>
                <w:szCs w:val="20"/>
                <w:u w:val="single"/>
                <w:lang w:val="en-PH"/>
              </w:rPr>
              <w:t xml:space="preserve">the </w:t>
            </w:r>
            <w:r w:rsidRPr="00191054">
              <w:rPr>
                <w:rFonts w:ascii="Tahoma" w:hAnsi="Tahoma" w:cs="Tahoma"/>
                <w:b/>
                <w:bCs/>
                <w:color w:val="000000"/>
                <w:sz w:val="20"/>
                <w:szCs w:val="20"/>
                <w:u w:val="single"/>
                <w:lang w:val="en-PH"/>
              </w:rPr>
              <w:t>ERC's authority to approve the corresponding P</w:t>
            </w:r>
            <w:r w:rsidR="00191054">
              <w:rPr>
                <w:rFonts w:ascii="Tahoma" w:hAnsi="Tahoma" w:cs="Tahoma"/>
                <w:b/>
                <w:bCs/>
                <w:color w:val="000000"/>
                <w:sz w:val="20"/>
                <w:szCs w:val="20"/>
                <w:u w:val="single"/>
                <w:lang w:val="en-PH"/>
              </w:rPr>
              <w:t xml:space="preserve">ower </w:t>
            </w:r>
            <w:r w:rsidRPr="00191054">
              <w:rPr>
                <w:rFonts w:ascii="Tahoma" w:hAnsi="Tahoma" w:cs="Tahoma"/>
                <w:b/>
                <w:bCs/>
                <w:color w:val="000000"/>
                <w:sz w:val="20"/>
                <w:szCs w:val="20"/>
                <w:u w:val="single"/>
                <w:lang w:val="en-PH"/>
              </w:rPr>
              <w:t>S</w:t>
            </w:r>
            <w:r w:rsidR="00191054">
              <w:rPr>
                <w:rFonts w:ascii="Tahoma" w:hAnsi="Tahoma" w:cs="Tahoma"/>
                <w:b/>
                <w:bCs/>
                <w:color w:val="000000"/>
                <w:sz w:val="20"/>
                <w:szCs w:val="20"/>
                <w:u w:val="single"/>
                <w:lang w:val="en-PH"/>
              </w:rPr>
              <w:t xml:space="preserve">upply </w:t>
            </w:r>
            <w:r w:rsidRPr="00191054">
              <w:rPr>
                <w:rFonts w:ascii="Tahoma" w:hAnsi="Tahoma" w:cs="Tahoma"/>
                <w:b/>
                <w:bCs/>
                <w:color w:val="000000"/>
                <w:sz w:val="20"/>
                <w:szCs w:val="20"/>
                <w:u w:val="single"/>
                <w:lang w:val="en-PH"/>
              </w:rPr>
              <w:t>A</w:t>
            </w:r>
            <w:r w:rsidR="00191054">
              <w:rPr>
                <w:rFonts w:ascii="Tahoma" w:hAnsi="Tahoma" w:cs="Tahoma"/>
                <w:b/>
                <w:bCs/>
                <w:color w:val="000000"/>
                <w:sz w:val="20"/>
                <w:szCs w:val="20"/>
                <w:u w:val="single"/>
                <w:lang w:val="en-PH"/>
              </w:rPr>
              <w:t xml:space="preserve">greement </w:t>
            </w:r>
            <w:r w:rsidRPr="00191054">
              <w:rPr>
                <w:rFonts w:ascii="Tahoma" w:hAnsi="Tahoma" w:cs="Tahoma"/>
                <w:b/>
                <w:bCs/>
                <w:color w:val="000000"/>
                <w:sz w:val="20"/>
                <w:szCs w:val="20"/>
                <w:u w:val="single"/>
                <w:lang w:val="en-PH"/>
              </w:rPr>
              <w:t xml:space="preserve">of the </w:t>
            </w:r>
            <w:r w:rsidR="00191054" w:rsidRPr="00191054">
              <w:rPr>
                <w:rFonts w:ascii="Tahoma" w:hAnsi="Tahoma" w:cs="Tahoma"/>
                <w:b/>
                <w:bCs/>
                <w:color w:val="000000"/>
                <w:sz w:val="20"/>
                <w:szCs w:val="20"/>
                <w:u w:val="single"/>
                <w:lang w:val="en-PH"/>
              </w:rPr>
              <w:t>Gen</w:t>
            </w:r>
            <w:r w:rsidR="00191054">
              <w:rPr>
                <w:rFonts w:ascii="Tahoma" w:hAnsi="Tahoma" w:cs="Tahoma"/>
                <w:b/>
                <w:bCs/>
                <w:color w:val="000000"/>
                <w:sz w:val="20"/>
                <w:szCs w:val="20"/>
                <w:u w:val="single"/>
                <w:lang w:val="en-PH"/>
              </w:rPr>
              <w:t xml:space="preserve">eration </w:t>
            </w:r>
            <w:r w:rsidR="00191054" w:rsidRPr="00191054">
              <w:rPr>
                <w:rFonts w:ascii="Tahoma" w:hAnsi="Tahoma" w:cs="Tahoma"/>
                <w:b/>
                <w:bCs/>
                <w:color w:val="000000"/>
                <w:sz w:val="20"/>
                <w:szCs w:val="20"/>
                <w:u w:val="single"/>
                <w:lang w:val="en-PH"/>
              </w:rPr>
              <w:t>Co</w:t>
            </w:r>
            <w:r w:rsidR="00191054">
              <w:rPr>
                <w:rFonts w:ascii="Tahoma" w:hAnsi="Tahoma" w:cs="Tahoma"/>
                <w:b/>
                <w:bCs/>
                <w:color w:val="000000"/>
                <w:sz w:val="20"/>
                <w:szCs w:val="20"/>
                <w:u w:val="single"/>
                <w:lang w:val="en-PH"/>
              </w:rPr>
              <w:t>mpany</w:t>
            </w:r>
            <w:r w:rsidRPr="00191054">
              <w:rPr>
                <w:rFonts w:ascii="Tahoma" w:hAnsi="Tahoma" w:cs="Tahoma"/>
                <w:b/>
                <w:bCs/>
                <w:color w:val="000000"/>
                <w:sz w:val="20"/>
                <w:szCs w:val="20"/>
                <w:u w:val="single"/>
                <w:lang w:val="en-PH"/>
              </w:rPr>
              <w:t xml:space="preserve"> with the DU.</w:t>
            </w:r>
          </w:p>
        </w:tc>
        <w:tc>
          <w:tcPr>
            <w:tcW w:w="936" w:type="pct"/>
          </w:tcPr>
          <w:p w14:paraId="287E471E" w14:textId="77777777" w:rsidR="00934328" w:rsidRDefault="00934328" w:rsidP="00FE0263">
            <w:pPr>
              <w:jc w:val="both"/>
              <w:rPr>
                <w:rFonts w:ascii="Arial" w:hAnsi="Arial" w:cs="Arial"/>
                <w:sz w:val="20"/>
                <w:szCs w:val="20"/>
              </w:rPr>
            </w:pPr>
          </w:p>
        </w:tc>
      </w:tr>
    </w:tbl>
    <w:p w14:paraId="0DA81EE1" w14:textId="77777777" w:rsidR="00C11403" w:rsidRPr="00DC0AFC" w:rsidRDefault="00C11403" w:rsidP="00A358B1">
      <w:pPr>
        <w:jc w:val="both"/>
        <w:rPr>
          <w:rFonts w:ascii="Arial" w:hAnsi="Arial" w:cs="Arial"/>
          <w:sz w:val="20"/>
          <w:szCs w:val="20"/>
        </w:rPr>
      </w:pPr>
    </w:p>
    <w:sectPr w:rsidR="00C11403" w:rsidRPr="00DC0AFC" w:rsidSect="00CB192D">
      <w:pgSz w:w="16838" w:h="11906" w:orient="landscape" w:code="9"/>
      <w:pgMar w:top="568" w:right="39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46"/>
    <w:multiLevelType w:val="hybridMultilevel"/>
    <w:tmpl w:val="B47EBF94"/>
    <w:lvl w:ilvl="0" w:tplc="34090017">
      <w:start w:val="2"/>
      <w:numFmt w:val="lowerLetter"/>
      <w:lvlText w:val="%1)"/>
      <w:lvlJc w:val="left"/>
      <w:pPr>
        <w:ind w:left="360" w:hanging="360"/>
      </w:pPr>
      <w:rPr>
        <w:rFonts w:hint="default"/>
        <w:b w:val="0"/>
        <w:color w:val="auto"/>
        <w:u w:val="non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028B3E04"/>
    <w:multiLevelType w:val="hybridMultilevel"/>
    <w:tmpl w:val="DCF2F326"/>
    <w:lvl w:ilvl="0" w:tplc="FFFFFFFF">
      <w:start w:val="1"/>
      <w:numFmt w:val="lowerRoman"/>
      <w:lvlText w:val="(%1)"/>
      <w:lvlJc w:val="left"/>
      <w:pPr>
        <w:ind w:left="720" w:hanging="720"/>
      </w:pPr>
      <w:rPr>
        <w:rFonts w:hint="default"/>
      </w:rPr>
    </w:lvl>
    <w:lvl w:ilvl="1" w:tplc="FFFFFFFF">
      <w:start w:val="1"/>
      <w:numFmt w:val="lowerRoman"/>
      <w:lvlText w:val="%2)"/>
      <w:lvlJc w:val="left"/>
      <w:pPr>
        <w:ind w:left="1440" w:hanging="720"/>
      </w:pPr>
      <w:rPr>
        <w:rFonts w:hint="default"/>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97332C"/>
    <w:multiLevelType w:val="hybridMultilevel"/>
    <w:tmpl w:val="E2C2ABCA"/>
    <w:lvl w:ilvl="0" w:tplc="D966BBCA">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8BC7F61"/>
    <w:multiLevelType w:val="hybridMultilevel"/>
    <w:tmpl w:val="310E71F6"/>
    <w:lvl w:ilvl="0" w:tplc="4CDC1606">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2B4D5E1D"/>
    <w:multiLevelType w:val="hybridMultilevel"/>
    <w:tmpl w:val="DCF2F326"/>
    <w:lvl w:ilvl="0" w:tplc="A628E87E">
      <w:start w:val="1"/>
      <w:numFmt w:val="lowerRoman"/>
      <w:lvlText w:val="(%1)"/>
      <w:lvlJc w:val="left"/>
      <w:pPr>
        <w:ind w:left="720" w:hanging="720"/>
      </w:pPr>
      <w:rPr>
        <w:rFonts w:hint="default"/>
      </w:rPr>
    </w:lvl>
    <w:lvl w:ilvl="1" w:tplc="A4C24E42">
      <w:start w:val="1"/>
      <w:numFmt w:val="lowerRoman"/>
      <w:lvlText w:val="%2)"/>
      <w:lvlJc w:val="left"/>
      <w:pPr>
        <w:ind w:left="1440" w:hanging="720"/>
      </w:pPr>
      <w:rPr>
        <w:rFonts w:hint="default"/>
        <w:u w:val="none"/>
      </w:r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9CD0D65"/>
    <w:multiLevelType w:val="hybridMultilevel"/>
    <w:tmpl w:val="2A80D618"/>
    <w:lvl w:ilvl="0" w:tplc="30D6050E">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4D4F0E94"/>
    <w:multiLevelType w:val="hybridMultilevel"/>
    <w:tmpl w:val="C5D65864"/>
    <w:lvl w:ilvl="0" w:tplc="454AAD4E">
      <w:start w:val="1"/>
      <w:numFmt w:val="lowerRoman"/>
      <w:lvlText w:val="(%1)"/>
      <w:lvlJc w:val="left"/>
      <w:pPr>
        <w:ind w:left="720" w:hanging="720"/>
      </w:pPr>
      <w:rPr>
        <w:rFonts w:hint="default"/>
        <w:b w:val="0"/>
        <w:bCs/>
        <w:color w:val="auto"/>
        <w:u w:val="non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54B6145F"/>
    <w:multiLevelType w:val="hybridMultilevel"/>
    <w:tmpl w:val="5010FB4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56DB5233"/>
    <w:multiLevelType w:val="hybridMultilevel"/>
    <w:tmpl w:val="4CB073B6"/>
    <w:lvl w:ilvl="0" w:tplc="BECC3DB2">
      <w:start w:val="1"/>
      <w:numFmt w:val="lowerRoman"/>
      <w:lvlText w:val="(%1)"/>
      <w:lvlJc w:val="left"/>
      <w:pPr>
        <w:ind w:left="2992" w:hanging="720"/>
      </w:pPr>
      <w:rPr>
        <w:rFonts w:hint="default"/>
      </w:rPr>
    </w:lvl>
    <w:lvl w:ilvl="1" w:tplc="34090019" w:tentative="1">
      <w:start w:val="1"/>
      <w:numFmt w:val="lowerLetter"/>
      <w:lvlText w:val="%2."/>
      <w:lvlJc w:val="left"/>
      <w:pPr>
        <w:ind w:left="3712" w:hanging="360"/>
      </w:pPr>
    </w:lvl>
    <w:lvl w:ilvl="2" w:tplc="3409001B" w:tentative="1">
      <w:start w:val="1"/>
      <w:numFmt w:val="lowerRoman"/>
      <w:lvlText w:val="%3."/>
      <w:lvlJc w:val="right"/>
      <w:pPr>
        <w:ind w:left="4432" w:hanging="180"/>
      </w:pPr>
    </w:lvl>
    <w:lvl w:ilvl="3" w:tplc="3409000F" w:tentative="1">
      <w:start w:val="1"/>
      <w:numFmt w:val="decimal"/>
      <w:lvlText w:val="%4."/>
      <w:lvlJc w:val="left"/>
      <w:pPr>
        <w:ind w:left="5152" w:hanging="360"/>
      </w:pPr>
    </w:lvl>
    <w:lvl w:ilvl="4" w:tplc="34090019" w:tentative="1">
      <w:start w:val="1"/>
      <w:numFmt w:val="lowerLetter"/>
      <w:lvlText w:val="%5."/>
      <w:lvlJc w:val="left"/>
      <w:pPr>
        <w:ind w:left="5872" w:hanging="360"/>
      </w:pPr>
    </w:lvl>
    <w:lvl w:ilvl="5" w:tplc="3409001B" w:tentative="1">
      <w:start w:val="1"/>
      <w:numFmt w:val="lowerRoman"/>
      <w:lvlText w:val="%6."/>
      <w:lvlJc w:val="right"/>
      <w:pPr>
        <w:ind w:left="6592" w:hanging="180"/>
      </w:pPr>
    </w:lvl>
    <w:lvl w:ilvl="6" w:tplc="3409000F" w:tentative="1">
      <w:start w:val="1"/>
      <w:numFmt w:val="decimal"/>
      <w:lvlText w:val="%7."/>
      <w:lvlJc w:val="left"/>
      <w:pPr>
        <w:ind w:left="7312" w:hanging="360"/>
      </w:pPr>
    </w:lvl>
    <w:lvl w:ilvl="7" w:tplc="34090019" w:tentative="1">
      <w:start w:val="1"/>
      <w:numFmt w:val="lowerLetter"/>
      <w:lvlText w:val="%8."/>
      <w:lvlJc w:val="left"/>
      <w:pPr>
        <w:ind w:left="8032" w:hanging="360"/>
      </w:pPr>
    </w:lvl>
    <w:lvl w:ilvl="8" w:tplc="3409001B" w:tentative="1">
      <w:start w:val="1"/>
      <w:numFmt w:val="lowerRoman"/>
      <w:lvlText w:val="%9."/>
      <w:lvlJc w:val="right"/>
      <w:pPr>
        <w:ind w:left="8752" w:hanging="180"/>
      </w:pPr>
    </w:lvl>
  </w:abstractNum>
  <w:abstractNum w:abstractNumId="9" w15:restartNumberingAfterBreak="0">
    <w:nsid w:val="5C027756"/>
    <w:multiLevelType w:val="hybridMultilevel"/>
    <w:tmpl w:val="0406C880"/>
    <w:lvl w:ilvl="0" w:tplc="479A76C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6ED4CBA"/>
    <w:multiLevelType w:val="hybridMultilevel"/>
    <w:tmpl w:val="90E2D188"/>
    <w:lvl w:ilvl="0" w:tplc="D966BBCA">
      <w:start w:val="1"/>
      <w:numFmt w:val="lowerRoman"/>
      <w:lvlText w:val="(%1)"/>
      <w:lvlJc w:val="left"/>
      <w:pPr>
        <w:ind w:left="72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7BE30184"/>
    <w:multiLevelType w:val="hybridMultilevel"/>
    <w:tmpl w:val="BCBC06C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1738015951">
    <w:abstractNumId w:val="6"/>
  </w:num>
  <w:num w:numId="2" w16cid:durableId="1172571988">
    <w:abstractNumId w:val="0"/>
  </w:num>
  <w:num w:numId="3" w16cid:durableId="1440832158">
    <w:abstractNumId w:val="3"/>
  </w:num>
  <w:num w:numId="4" w16cid:durableId="587688949">
    <w:abstractNumId w:val="8"/>
  </w:num>
  <w:num w:numId="5" w16cid:durableId="1697149946">
    <w:abstractNumId w:val="5"/>
  </w:num>
  <w:num w:numId="6" w16cid:durableId="1953634474">
    <w:abstractNumId w:val="7"/>
  </w:num>
  <w:num w:numId="7" w16cid:durableId="865219389">
    <w:abstractNumId w:val="11"/>
  </w:num>
  <w:num w:numId="8" w16cid:durableId="567037600">
    <w:abstractNumId w:val="9"/>
  </w:num>
  <w:num w:numId="9" w16cid:durableId="2140759815">
    <w:abstractNumId w:val="4"/>
  </w:num>
  <w:num w:numId="10" w16cid:durableId="2000427922">
    <w:abstractNumId w:val="2"/>
  </w:num>
  <w:num w:numId="11" w16cid:durableId="531918357">
    <w:abstractNumId w:val="10"/>
  </w:num>
  <w:num w:numId="12" w16cid:durableId="180107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BB"/>
    <w:rsid w:val="0001276B"/>
    <w:rsid w:val="000141FF"/>
    <w:rsid w:val="00014A70"/>
    <w:rsid w:val="00020ECA"/>
    <w:rsid w:val="00043AB9"/>
    <w:rsid w:val="00044FC7"/>
    <w:rsid w:val="000526B0"/>
    <w:rsid w:val="00053A2D"/>
    <w:rsid w:val="000635B1"/>
    <w:rsid w:val="000962A2"/>
    <w:rsid w:val="00097FC1"/>
    <w:rsid w:val="000B2616"/>
    <w:rsid w:val="000E782B"/>
    <w:rsid w:val="000F078F"/>
    <w:rsid w:val="001228C0"/>
    <w:rsid w:val="00145EAA"/>
    <w:rsid w:val="001478BF"/>
    <w:rsid w:val="0015183B"/>
    <w:rsid w:val="0015268A"/>
    <w:rsid w:val="00156AC5"/>
    <w:rsid w:val="001638AB"/>
    <w:rsid w:val="0018106F"/>
    <w:rsid w:val="00185FF8"/>
    <w:rsid w:val="00191054"/>
    <w:rsid w:val="001A2A91"/>
    <w:rsid w:val="001A47BC"/>
    <w:rsid w:val="001B568B"/>
    <w:rsid w:val="001B75A9"/>
    <w:rsid w:val="001B7E81"/>
    <w:rsid w:val="001D548E"/>
    <w:rsid w:val="002212D9"/>
    <w:rsid w:val="0022151C"/>
    <w:rsid w:val="00230E66"/>
    <w:rsid w:val="00237A45"/>
    <w:rsid w:val="00254D69"/>
    <w:rsid w:val="00262CAE"/>
    <w:rsid w:val="00265099"/>
    <w:rsid w:val="0027220D"/>
    <w:rsid w:val="002851E6"/>
    <w:rsid w:val="00285C94"/>
    <w:rsid w:val="002A6CC3"/>
    <w:rsid w:val="002B4B7D"/>
    <w:rsid w:val="002C522F"/>
    <w:rsid w:val="002C6E01"/>
    <w:rsid w:val="002F6E94"/>
    <w:rsid w:val="003131A4"/>
    <w:rsid w:val="00313F02"/>
    <w:rsid w:val="00316779"/>
    <w:rsid w:val="00340A21"/>
    <w:rsid w:val="00342BC8"/>
    <w:rsid w:val="00351E7C"/>
    <w:rsid w:val="003627AA"/>
    <w:rsid w:val="003662CB"/>
    <w:rsid w:val="0038237A"/>
    <w:rsid w:val="00390B2D"/>
    <w:rsid w:val="003A518F"/>
    <w:rsid w:val="003B3BEC"/>
    <w:rsid w:val="003B512C"/>
    <w:rsid w:val="003C66AA"/>
    <w:rsid w:val="003C7C2B"/>
    <w:rsid w:val="00491D88"/>
    <w:rsid w:val="00495855"/>
    <w:rsid w:val="004A0AA4"/>
    <w:rsid w:val="004B009D"/>
    <w:rsid w:val="004B5741"/>
    <w:rsid w:val="004C6760"/>
    <w:rsid w:val="004D4214"/>
    <w:rsid w:val="004E6D57"/>
    <w:rsid w:val="004F1EF0"/>
    <w:rsid w:val="00544B49"/>
    <w:rsid w:val="005A0755"/>
    <w:rsid w:val="005A204D"/>
    <w:rsid w:val="005A3044"/>
    <w:rsid w:val="005A378F"/>
    <w:rsid w:val="005B21EC"/>
    <w:rsid w:val="005E3592"/>
    <w:rsid w:val="005E4C16"/>
    <w:rsid w:val="005E792B"/>
    <w:rsid w:val="005E7C96"/>
    <w:rsid w:val="006262A7"/>
    <w:rsid w:val="00631A1F"/>
    <w:rsid w:val="006352F6"/>
    <w:rsid w:val="00635862"/>
    <w:rsid w:val="00654FFA"/>
    <w:rsid w:val="00660B5F"/>
    <w:rsid w:val="006B2E64"/>
    <w:rsid w:val="006C5630"/>
    <w:rsid w:val="006E76C8"/>
    <w:rsid w:val="006F3315"/>
    <w:rsid w:val="00704BF4"/>
    <w:rsid w:val="007369E5"/>
    <w:rsid w:val="00751468"/>
    <w:rsid w:val="007645BB"/>
    <w:rsid w:val="0077594E"/>
    <w:rsid w:val="00777248"/>
    <w:rsid w:val="00784C00"/>
    <w:rsid w:val="007A1124"/>
    <w:rsid w:val="007B2C71"/>
    <w:rsid w:val="007C1A00"/>
    <w:rsid w:val="007E79DA"/>
    <w:rsid w:val="00812CC6"/>
    <w:rsid w:val="0082155A"/>
    <w:rsid w:val="0082478F"/>
    <w:rsid w:val="0082739C"/>
    <w:rsid w:val="00837CC9"/>
    <w:rsid w:val="00861DBC"/>
    <w:rsid w:val="0089301B"/>
    <w:rsid w:val="008B53CC"/>
    <w:rsid w:val="008C14A4"/>
    <w:rsid w:val="008C47F4"/>
    <w:rsid w:val="008C5A45"/>
    <w:rsid w:val="0092260A"/>
    <w:rsid w:val="00934328"/>
    <w:rsid w:val="00940513"/>
    <w:rsid w:val="00944AA3"/>
    <w:rsid w:val="00986197"/>
    <w:rsid w:val="00993A5F"/>
    <w:rsid w:val="009A1669"/>
    <w:rsid w:val="009A211D"/>
    <w:rsid w:val="009A604B"/>
    <w:rsid w:val="009E5DD5"/>
    <w:rsid w:val="00A12EC9"/>
    <w:rsid w:val="00A22213"/>
    <w:rsid w:val="00A358B1"/>
    <w:rsid w:val="00A57CAA"/>
    <w:rsid w:val="00A6549F"/>
    <w:rsid w:val="00A852D5"/>
    <w:rsid w:val="00A948B5"/>
    <w:rsid w:val="00AB1648"/>
    <w:rsid w:val="00B03C69"/>
    <w:rsid w:val="00B03E83"/>
    <w:rsid w:val="00B17D01"/>
    <w:rsid w:val="00B40208"/>
    <w:rsid w:val="00B41B7D"/>
    <w:rsid w:val="00B4548D"/>
    <w:rsid w:val="00B7573D"/>
    <w:rsid w:val="00B90277"/>
    <w:rsid w:val="00BB5D31"/>
    <w:rsid w:val="00BC266B"/>
    <w:rsid w:val="00BF30B8"/>
    <w:rsid w:val="00C017D1"/>
    <w:rsid w:val="00C0202B"/>
    <w:rsid w:val="00C11403"/>
    <w:rsid w:val="00C12441"/>
    <w:rsid w:val="00C13CBE"/>
    <w:rsid w:val="00C1776A"/>
    <w:rsid w:val="00C21F76"/>
    <w:rsid w:val="00C24831"/>
    <w:rsid w:val="00C43E3C"/>
    <w:rsid w:val="00C51F00"/>
    <w:rsid w:val="00C77477"/>
    <w:rsid w:val="00C777ED"/>
    <w:rsid w:val="00C812DB"/>
    <w:rsid w:val="00CB192D"/>
    <w:rsid w:val="00CB593C"/>
    <w:rsid w:val="00CC4599"/>
    <w:rsid w:val="00CE0BE2"/>
    <w:rsid w:val="00CE1C90"/>
    <w:rsid w:val="00CE6038"/>
    <w:rsid w:val="00CF4085"/>
    <w:rsid w:val="00CF5652"/>
    <w:rsid w:val="00D10EEB"/>
    <w:rsid w:val="00D27238"/>
    <w:rsid w:val="00D32041"/>
    <w:rsid w:val="00D369E5"/>
    <w:rsid w:val="00D746D0"/>
    <w:rsid w:val="00D97A53"/>
    <w:rsid w:val="00DB111E"/>
    <w:rsid w:val="00DB19C2"/>
    <w:rsid w:val="00DC0AFC"/>
    <w:rsid w:val="00DC1747"/>
    <w:rsid w:val="00DC2B5D"/>
    <w:rsid w:val="00DD10F1"/>
    <w:rsid w:val="00DD35B3"/>
    <w:rsid w:val="00E002A0"/>
    <w:rsid w:val="00E06EDC"/>
    <w:rsid w:val="00E176C0"/>
    <w:rsid w:val="00E23621"/>
    <w:rsid w:val="00E333F9"/>
    <w:rsid w:val="00E33CFF"/>
    <w:rsid w:val="00E359A7"/>
    <w:rsid w:val="00E65B8B"/>
    <w:rsid w:val="00E80B0C"/>
    <w:rsid w:val="00E84CA5"/>
    <w:rsid w:val="00EA66A7"/>
    <w:rsid w:val="00EC6918"/>
    <w:rsid w:val="00ED451A"/>
    <w:rsid w:val="00ED7698"/>
    <w:rsid w:val="00EF0256"/>
    <w:rsid w:val="00EF4A0F"/>
    <w:rsid w:val="00F04B40"/>
    <w:rsid w:val="00F05FC8"/>
    <w:rsid w:val="00F20536"/>
    <w:rsid w:val="00F247D9"/>
    <w:rsid w:val="00F254CF"/>
    <w:rsid w:val="00F27CAB"/>
    <w:rsid w:val="00F34FC6"/>
    <w:rsid w:val="00F42FD6"/>
    <w:rsid w:val="00F444AD"/>
    <w:rsid w:val="00F733AA"/>
    <w:rsid w:val="00F85E91"/>
    <w:rsid w:val="00FA1D36"/>
    <w:rsid w:val="00FB5D37"/>
    <w:rsid w:val="00FC3391"/>
    <w:rsid w:val="00FD46F4"/>
    <w:rsid w:val="00FE0263"/>
    <w:rsid w:val="01980775"/>
    <w:rsid w:val="03284CB8"/>
    <w:rsid w:val="038FC59F"/>
    <w:rsid w:val="05E428E7"/>
    <w:rsid w:val="08496AA3"/>
    <w:rsid w:val="0B810B65"/>
    <w:rsid w:val="0C9E5886"/>
    <w:rsid w:val="0D1CDBC6"/>
    <w:rsid w:val="0EB8AC27"/>
    <w:rsid w:val="0F412DAC"/>
    <w:rsid w:val="0FBC7069"/>
    <w:rsid w:val="0FC0A9E1"/>
    <w:rsid w:val="10D9F4A9"/>
    <w:rsid w:val="1270FF94"/>
    <w:rsid w:val="12CA3BBE"/>
    <w:rsid w:val="13D50E20"/>
    <w:rsid w:val="17F45860"/>
    <w:rsid w:val="1838CB7C"/>
    <w:rsid w:val="1DDF9FBE"/>
    <w:rsid w:val="1E3216FF"/>
    <w:rsid w:val="20C65726"/>
    <w:rsid w:val="2649C33D"/>
    <w:rsid w:val="2A86D87E"/>
    <w:rsid w:val="2CB904C1"/>
    <w:rsid w:val="2CCEE429"/>
    <w:rsid w:val="304860F8"/>
    <w:rsid w:val="30EA348A"/>
    <w:rsid w:val="31C22A3A"/>
    <w:rsid w:val="33540546"/>
    <w:rsid w:val="37D28DBC"/>
    <w:rsid w:val="38578E04"/>
    <w:rsid w:val="38C7CCC4"/>
    <w:rsid w:val="3E41CF40"/>
    <w:rsid w:val="427D3444"/>
    <w:rsid w:val="47A860DC"/>
    <w:rsid w:val="4E867F81"/>
    <w:rsid w:val="4EC9928A"/>
    <w:rsid w:val="513C374B"/>
    <w:rsid w:val="553028EE"/>
    <w:rsid w:val="59019E23"/>
    <w:rsid w:val="59317CE0"/>
    <w:rsid w:val="59B8DFAE"/>
    <w:rsid w:val="5BD6DC84"/>
    <w:rsid w:val="5D2E420E"/>
    <w:rsid w:val="5D506A4F"/>
    <w:rsid w:val="5EB18CEA"/>
    <w:rsid w:val="639A7FD7"/>
    <w:rsid w:val="64A9105B"/>
    <w:rsid w:val="66E57904"/>
    <w:rsid w:val="698002BB"/>
    <w:rsid w:val="6A01163B"/>
    <w:rsid w:val="71A304B4"/>
    <w:rsid w:val="7490955B"/>
    <w:rsid w:val="7524CFC2"/>
    <w:rsid w:val="766860A4"/>
    <w:rsid w:val="78036A48"/>
    <w:rsid w:val="78043105"/>
    <w:rsid w:val="7A72F99D"/>
    <w:rsid w:val="7D2FE1A7"/>
    <w:rsid w:val="7F52A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809"/>
  <w15:chartTrackingRefBased/>
  <w15:docId w15:val="{A66F4EA7-5AD1-4C03-B373-390A98E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248"/>
    <w:pPr>
      <w:ind w:left="720"/>
      <w:contextualSpacing/>
    </w:pPr>
  </w:style>
  <w:style w:type="character" w:styleId="CommentReference">
    <w:name w:val="annotation reference"/>
    <w:basedOn w:val="DefaultParagraphFont"/>
    <w:uiPriority w:val="99"/>
    <w:semiHidden/>
    <w:unhideWhenUsed/>
    <w:rsid w:val="00B4548D"/>
    <w:rPr>
      <w:sz w:val="16"/>
      <w:szCs w:val="16"/>
    </w:rPr>
  </w:style>
  <w:style w:type="paragraph" w:styleId="CommentText">
    <w:name w:val="annotation text"/>
    <w:basedOn w:val="Normal"/>
    <w:link w:val="CommentTextChar"/>
    <w:uiPriority w:val="99"/>
    <w:unhideWhenUsed/>
    <w:rsid w:val="00B4548D"/>
    <w:pPr>
      <w:spacing w:line="240" w:lineRule="auto"/>
    </w:pPr>
    <w:rPr>
      <w:sz w:val="20"/>
      <w:szCs w:val="20"/>
    </w:rPr>
  </w:style>
  <w:style w:type="character" w:customStyle="1" w:styleId="CommentTextChar">
    <w:name w:val="Comment Text Char"/>
    <w:basedOn w:val="DefaultParagraphFont"/>
    <w:link w:val="CommentText"/>
    <w:uiPriority w:val="99"/>
    <w:rsid w:val="00B4548D"/>
    <w:rPr>
      <w:sz w:val="20"/>
      <w:szCs w:val="20"/>
    </w:rPr>
  </w:style>
  <w:style w:type="paragraph" w:styleId="CommentSubject">
    <w:name w:val="annotation subject"/>
    <w:basedOn w:val="CommentText"/>
    <w:next w:val="CommentText"/>
    <w:link w:val="CommentSubjectChar"/>
    <w:uiPriority w:val="99"/>
    <w:semiHidden/>
    <w:unhideWhenUsed/>
    <w:rsid w:val="00B4548D"/>
    <w:rPr>
      <w:b/>
      <w:bCs/>
    </w:rPr>
  </w:style>
  <w:style w:type="character" w:customStyle="1" w:styleId="CommentSubjectChar">
    <w:name w:val="Comment Subject Char"/>
    <w:basedOn w:val="CommentTextChar"/>
    <w:link w:val="CommentSubject"/>
    <w:uiPriority w:val="99"/>
    <w:semiHidden/>
    <w:rsid w:val="00B4548D"/>
    <w:rPr>
      <w:b/>
      <w:bCs/>
      <w:sz w:val="20"/>
      <w:szCs w:val="20"/>
    </w:rPr>
  </w:style>
  <w:style w:type="paragraph" w:styleId="Revision">
    <w:name w:val="Revision"/>
    <w:hidden/>
    <w:uiPriority w:val="99"/>
    <w:semiHidden/>
    <w:rsid w:val="00B4548D"/>
    <w:pPr>
      <w:spacing w:after="0" w:line="240" w:lineRule="auto"/>
    </w:pPr>
  </w:style>
  <w:style w:type="paragraph" w:customStyle="1" w:styleId="pf0">
    <w:name w:val="pf0"/>
    <w:basedOn w:val="Normal"/>
    <w:rsid w:val="0018106F"/>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cf01">
    <w:name w:val="cf01"/>
    <w:basedOn w:val="DefaultParagraphFont"/>
    <w:rsid w:val="0018106F"/>
    <w:rPr>
      <w:rFonts w:ascii="Segoe UI" w:hAnsi="Segoe UI" w:cs="Segoe UI" w:hint="default"/>
      <w:sz w:val="18"/>
      <w:szCs w:val="18"/>
    </w:rPr>
  </w:style>
  <w:style w:type="character" w:customStyle="1" w:styleId="markedcontent">
    <w:name w:val="markedcontent"/>
    <w:basedOn w:val="DefaultParagraphFont"/>
    <w:rsid w:val="00F7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1094">
      <w:bodyDiv w:val="1"/>
      <w:marLeft w:val="0"/>
      <w:marRight w:val="0"/>
      <w:marTop w:val="0"/>
      <w:marBottom w:val="0"/>
      <w:divBdr>
        <w:top w:val="none" w:sz="0" w:space="0" w:color="auto"/>
        <w:left w:val="none" w:sz="0" w:space="0" w:color="auto"/>
        <w:bottom w:val="none" w:sz="0" w:space="0" w:color="auto"/>
        <w:right w:val="none" w:sz="0" w:space="0" w:color="auto"/>
      </w:divBdr>
    </w:div>
    <w:div w:id="2144691625">
      <w:bodyDiv w:val="1"/>
      <w:marLeft w:val="0"/>
      <w:marRight w:val="0"/>
      <w:marTop w:val="0"/>
      <w:marBottom w:val="0"/>
      <w:divBdr>
        <w:top w:val="none" w:sz="0" w:space="0" w:color="auto"/>
        <w:left w:val="none" w:sz="0" w:space="0" w:color="auto"/>
        <w:bottom w:val="none" w:sz="0" w:space="0" w:color="auto"/>
        <w:right w:val="none" w:sz="0" w:space="0" w:color="auto"/>
      </w:divBdr>
      <w:divsChild>
        <w:div w:id="214895279">
          <w:marLeft w:val="0"/>
          <w:marRight w:val="0"/>
          <w:marTop w:val="0"/>
          <w:marBottom w:val="0"/>
          <w:divBdr>
            <w:top w:val="none" w:sz="0" w:space="0" w:color="auto"/>
            <w:left w:val="none" w:sz="0" w:space="0" w:color="auto"/>
            <w:bottom w:val="none" w:sz="0" w:space="0" w:color="auto"/>
            <w:right w:val="none" w:sz="0" w:space="0" w:color="auto"/>
          </w:divBdr>
        </w:div>
        <w:div w:id="1990204376">
          <w:marLeft w:val="0"/>
          <w:marRight w:val="0"/>
          <w:marTop w:val="0"/>
          <w:marBottom w:val="0"/>
          <w:divBdr>
            <w:top w:val="none" w:sz="0" w:space="0" w:color="auto"/>
            <w:left w:val="none" w:sz="0" w:space="0" w:color="auto"/>
            <w:bottom w:val="none" w:sz="0" w:space="0" w:color="auto"/>
            <w:right w:val="none" w:sz="0" w:space="0" w:color="auto"/>
          </w:divBdr>
        </w:div>
        <w:div w:id="835805734">
          <w:marLeft w:val="0"/>
          <w:marRight w:val="0"/>
          <w:marTop w:val="0"/>
          <w:marBottom w:val="0"/>
          <w:divBdr>
            <w:top w:val="none" w:sz="0" w:space="0" w:color="auto"/>
            <w:left w:val="none" w:sz="0" w:space="0" w:color="auto"/>
            <w:bottom w:val="none" w:sz="0" w:space="0" w:color="auto"/>
            <w:right w:val="none" w:sz="0" w:space="0" w:color="auto"/>
          </w:divBdr>
        </w:div>
        <w:div w:id="2073233387">
          <w:marLeft w:val="0"/>
          <w:marRight w:val="0"/>
          <w:marTop w:val="0"/>
          <w:marBottom w:val="0"/>
          <w:divBdr>
            <w:top w:val="none" w:sz="0" w:space="0" w:color="auto"/>
            <w:left w:val="none" w:sz="0" w:space="0" w:color="auto"/>
            <w:bottom w:val="none" w:sz="0" w:space="0" w:color="auto"/>
            <w:right w:val="none" w:sz="0" w:space="0" w:color="auto"/>
          </w:divBdr>
        </w:div>
        <w:div w:id="1234848294">
          <w:marLeft w:val="0"/>
          <w:marRight w:val="0"/>
          <w:marTop w:val="0"/>
          <w:marBottom w:val="0"/>
          <w:divBdr>
            <w:top w:val="none" w:sz="0" w:space="0" w:color="auto"/>
            <w:left w:val="none" w:sz="0" w:space="0" w:color="auto"/>
            <w:bottom w:val="none" w:sz="0" w:space="0" w:color="auto"/>
            <w:right w:val="none" w:sz="0" w:space="0" w:color="auto"/>
          </w:divBdr>
        </w:div>
        <w:div w:id="66794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9F58CEEC7114795B35E5384D9293C" ma:contentTypeVersion="9" ma:contentTypeDescription="Create a new document." ma:contentTypeScope="" ma:versionID="5a2d08e11814b3a4239665b9fc8def1b">
  <xsd:schema xmlns:xsd="http://www.w3.org/2001/XMLSchema" xmlns:xs="http://www.w3.org/2001/XMLSchema" xmlns:p="http://schemas.microsoft.com/office/2006/metadata/properties" xmlns:ns2="d162de7b-a805-44d8-9d41-9a5f04b5ce1f" xmlns:ns3="94b3851c-5dad-4fc9-b93e-a6a2e6f82c30" targetNamespace="http://schemas.microsoft.com/office/2006/metadata/properties" ma:root="true" ma:fieldsID="59f79d24c5ece79776d4bfc9333c0bf7" ns2:_="" ns3:_="">
    <xsd:import namespace="d162de7b-a805-44d8-9d41-9a5f04b5ce1f"/>
    <xsd:import namespace="94b3851c-5dad-4fc9-b93e-a6a2e6f82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de7b-a805-44d8-9d41-9a5f04b5c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3851c-5dad-4fc9-b93e-a6a2e6f82c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63C87-1103-4791-95C8-41029639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de7b-a805-44d8-9d41-9a5f04b5ce1f"/>
    <ds:schemaRef ds:uri="94b3851c-5dad-4fc9-b93e-a6a2e6f82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3ACBE-B1A5-4A47-9BAA-B67586F1B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B484EC-16EE-48E3-911B-1E4BBD026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Phillip R. Valerio</dc:creator>
  <cp:keywords/>
  <dc:description/>
  <cp:lastModifiedBy>Mary Anne Fernando</cp:lastModifiedBy>
  <cp:revision>9</cp:revision>
  <cp:lastPrinted>2023-03-09T00:48:00Z</cp:lastPrinted>
  <dcterms:created xsi:type="dcterms:W3CDTF">2023-07-20T05:14:00Z</dcterms:created>
  <dcterms:modified xsi:type="dcterms:W3CDTF">2023-08-02T00:39:00Z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0x010100AB69F58CEEC7114795B35E5384D9293C</vt:lpwstr>
  </property>
</Properties>
</file>